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77425"/>
      <w:bookmarkStart w:id="1" w:name="_Toc15377193"/>
      <w:bookmarkStart w:id="2" w:name="_Toc15378441"/>
      <w:bookmarkStart w:id="3" w:name="_Toc15396597"/>
      <w:bookmarkStart w:id="4" w:name="_Toc1539647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194"/>
      <w:bookmarkStart w:id="8" w:name="_Toc15378442"/>
      <w:bookmarkStart w:id="9" w:name="_Toc15396476"/>
      <w:bookmarkStart w:id="10" w:name="_Toc15377426"/>
      <w:bookmarkStart w:id="11" w:name="_Toc15306268"/>
      <w:r>
        <w:rPr>
          <w:rFonts w:hint="eastAsia" w:ascii="方正小标宋简体" w:hAnsi="方正小标宋简体" w:eastAsia="方正小标宋简体" w:cs="方正小标宋简体"/>
          <w:sz w:val="72"/>
          <w:szCs w:val="72"/>
        </w:rPr>
        <w:t>四川省中国共产党泸县委员会政策研究室部门决算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部门公开</w:t>
      </w:r>
      <w:r>
        <w:rPr>
          <w:rFonts w:hint="eastAsia" w:ascii="方正小标宋简体" w:hAnsi="宋体" w:eastAsia="方正小标宋简体"/>
          <w:color w:val="auto"/>
          <w:sz w:val="52"/>
          <w:szCs w:val="52"/>
          <w:highlight w:val="none"/>
        </w:rPr>
        <w:t>)</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bookmarkStart w:id="67" w:name="_GoBack"/>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3"/>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w:t>
      </w:r>
      <w:r>
        <w:rPr>
          <w:rFonts w:hint="eastAsia"/>
          <w:color w:val="auto"/>
          <w:sz w:val="24"/>
          <w:highlight w:val="none"/>
          <w:lang w:eastAsia="zh-CN"/>
        </w:rPr>
        <w:t>部门职责</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2"/>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3"/>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9"/>
          <w:rFonts w:hint="eastAsia" w:asciiTheme="minorEastAsia" w:hAnsiTheme="minorEastAsia" w:eastAsiaTheme="minorEastAsia" w:cstheme="minorEastAsia"/>
          <w:color w:val="auto"/>
          <w:sz w:val="24"/>
          <w:highlight w:val="none"/>
          <w:u w:val="none"/>
          <w:lang w:eastAsia="zh-CN"/>
        </w:rPr>
        <w:t>十</w:t>
      </w:r>
      <w:r>
        <w:rPr>
          <w:rStyle w:val="19"/>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3"/>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rPr>
        <w:t>十三、财政拨款“三公”经费支出决算表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4"/>
        <w:jc w:val="center"/>
        <w:rPr>
          <w:rStyle w:val="29"/>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snapToGrid w:val="0"/>
        <w:spacing w:line="520" w:lineRule="exact"/>
        <w:ind w:firstLine="640" w:firstLineChars="200"/>
        <w:rPr>
          <w:rFonts w:ascii="黑体" w:hAnsi="黑体" w:eastAsia="黑体"/>
          <w:color w:val="auto"/>
          <w:sz w:val="32"/>
          <w:szCs w:val="32"/>
        </w:rPr>
      </w:pPr>
      <w:bookmarkStart w:id="14" w:name="YS060101"/>
      <w:bookmarkStart w:id="15" w:name="_Toc15396602"/>
      <w:bookmarkStart w:id="16" w:name="_Toc15377204"/>
      <w:r>
        <w:rPr>
          <w:rFonts w:hint="eastAsia" w:ascii="黑体" w:hAnsi="黑体" w:eastAsia="黑体"/>
          <w:color w:val="auto"/>
          <w:sz w:val="32"/>
          <w:szCs w:val="32"/>
        </w:rPr>
        <w:t>一、部门情况</w:t>
      </w:r>
    </w:p>
    <w:bookmarkEnd w:id="14"/>
    <w:p>
      <w:pPr>
        <w:snapToGrid w:val="0"/>
        <w:spacing w:line="520" w:lineRule="exact"/>
        <w:ind w:firstLine="643" w:firstLineChars="200"/>
        <w:rPr>
          <w:rFonts w:ascii="楷体_GB2312" w:hAnsi="仿宋" w:eastAsia="楷体_GB2312"/>
          <w:b/>
          <w:color w:val="auto"/>
          <w:sz w:val="32"/>
          <w:szCs w:val="32"/>
        </w:rPr>
      </w:pPr>
      <w:r>
        <w:rPr>
          <w:rFonts w:hint="eastAsia" w:ascii="楷体_GB2312" w:hAnsi="仿宋" w:eastAsia="楷体_GB2312"/>
          <w:b/>
          <w:color w:val="auto"/>
          <w:sz w:val="32"/>
          <w:szCs w:val="32"/>
        </w:rPr>
        <w:t>（一）基本情况。</w:t>
      </w:r>
    </w:p>
    <w:p>
      <w:pPr>
        <w:pStyle w:val="7"/>
        <w:pageBreakBefore w:val="0"/>
        <w:kinsoku/>
        <w:wordWrap/>
        <w:overflowPunct/>
        <w:topLinePunct w:val="0"/>
        <w:autoSpaceDE/>
        <w:autoSpaceDN/>
        <w:bidi w:val="0"/>
        <w:adjustRightInd w:val="0"/>
        <w:snapToGrid w:val="0"/>
        <w:spacing w:before="93" w:line="578" w:lineRule="exact"/>
        <w:ind w:firstLine="640" w:firstLineChars="200"/>
        <w:textAlignment w:val="auto"/>
        <w:outlineLvl w:val="2"/>
        <w:rPr>
          <w:rFonts w:ascii="仿宋" w:hAnsi="仿宋" w:eastAsia="仿宋"/>
          <w:bCs/>
          <w:color w:val="000000"/>
          <w:sz w:val="32"/>
          <w:szCs w:val="32"/>
        </w:rPr>
      </w:pPr>
      <w:r>
        <w:rPr>
          <w:rFonts w:hint="eastAsia" w:ascii="仿宋_GB2312" w:hAnsi="仿宋" w:eastAsia="仿宋_GB2312"/>
          <w:color w:val="auto"/>
          <w:sz w:val="32"/>
          <w:szCs w:val="32"/>
        </w:rPr>
        <w:t>1．主要职能。</w:t>
      </w:r>
      <w:r>
        <w:rPr>
          <w:rFonts w:hint="eastAsia" w:hAnsi="仿宋_GB2312" w:cs="仿宋_GB2312"/>
          <w:color w:val="000000"/>
          <w:kern w:val="2"/>
          <w:sz w:val="32"/>
          <w:szCs w:val="32"/>
        </w:rPr>
        <w:t>中国共产党泸县委员会政策研究室是党的机关。职能是贯彻落实党中央的决定和省委、市委、县委的决策部署，认真分析研究中央、省委、市委出台的方针政策，围绕县委县政府中心工作，为县委决策提供依据、建议和方案；开展重点课题调研，为解决全局性、战略性、综合性重大问题提供决策、参考和依据；承担或参与县委经济社会发展重要政策、重要文件、领导讲话、全局性工作部署等重要文稿的起草或修改工作；贯彻落实中央、省委、市委全面深化改革决策部署，组织开展全县改革重大问题政策研究，制定县委改革委年度工作要点、工作台账，指导全县深化改革工作；组织开展全面深化改革工作目标考核、督察评估和典型案例总结推广，推动中央、省委、市委、县委全面深化改革决策部署和国家、省、市、县重大改革试点任务落地落实；负责县委党史研究室（县地方志办公室）工作，拟订全县党史、地方志工作规划，指导全县党史、地方志工作。负责专题性党史编写和地方志、综合年鉴修编工作；完成县委交办的其他任务。</w:t>
      </w:r>
    </w:p>
    <w:p>
      <w:pPr>
        <w:snapToGrid w:val="0"/>
        <w:spacing w:line="520" w:lineRule="exact"/>
        <w:ind w:firstLine="640" w:firstLineChars="200"/>
        <w:rPr>
          <w:rFonts w:ascii="仿宋_GB2312" w:hAnsi="仿宋" w:eastAsia="仿宋_GB2312"/>
          <w:color w:val="FF0000"/>
          <w:sz w:val="32"/>
          <w:szCs w:val="32"/>
        </w:rPr>
      </w:pPr>
    </w:p>
    <w:p>
      <w:pPr>
        <w:pStyle w:val="5"/>
        <w:pageBreakBefore w:val="0"/>
        <w:kinsoku/>
        <w:wordWrap/>
        <w:overflowPunct/>
        <w:topLinePunct w:val="0"/>
        <w:autoSpaceDE/>
        <w:autoSpaceDN/>
        <w:bidi w:val="0"/>
        <w:spacing w:line="578" w:lineRule="exact"/>
        <w:ind w:firstLine="640" w:firstLineChars="200"/>
        <w:textAlignment w:val="auto"/>
        <w:rPr>
          <w:rFonts w:hint="default"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2．机构情况，中国共产党泸县委员会政策研究室是一级预算单位，属行政单位，下属事业单位泸县改革服务中心。由综合股负责管理单位国有资产，执行政府会计制度。泸县改革服务中心于2022年6月裁撤。</w:t>
      </w:r>
    </w:p>
    <w:p>
      <w:pPr>
        <w:pStyle w:val="5"/>
        <w:pageBreakBefore w:val="0"/>
        <w:kinsoku/>
        <w:wordWrap/>
        <w:overflowPunct/>
        <w:topLinePunct w:val="0"/>
        <w:autoSpaceDE/>
        <w:autoSpaceDN/>
        <w:bidi w:val="0"/>
        <w:spacing w:line="578" w:lineRule="exact"/>
        <w:ind w:firstLine="640" w:firstLineChars="200"/>
        <w:textAlignment w:val="auto"/>
        <w:rPr>
          <w:rFonts w:hint="default"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3．人员情况，本单位核定总编制 8名，其中：公务员5名，事业3名。在职人员总数6人，其中：公务员3人，事业人员3人。2022年6月起核定总编制 5名，截至2022年12月，在职人员总数4人，其中：公务员4人。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textAlignment w:val="auto"/>
        <w:rPr>
          <w:rFonts w:hint="eastAsia" w:ascii="楷体_GB2312" w:hAnsi="仿宋" w:eastAsia="楷体_GB2312" w:cs="Times New Roman"/>
          <w:b/>
          <w:sz w:val="32"/>
          <w:szCs w:val="32"/>
          <w:lang w:val="en-US" w:eastAsia="zh-CN"/>
        </w:rPr>
      </w:pPr>
      <w:r>
        <w:rPr>
          <w:rFonts w:hint="eastAsia" w:ascii="楷体_GB2312" w:hAnsi="仿宋" w:eastAsia="楷体_GB2312" w:cs="Times New Roman"/>
          <w:b/>
          <w:sz w:val="32"/>
          <w:szCs w:val="32"/>
          <w:lang w:val="en-US" w:eastAsia="zh-CN"/>
        </w:rPr>
        <w:t>（二）当年取得的主要事业成效。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textAlignment w:val="auto"/>
        <w:rPr>
          <w:rFonts w:hint="eastAsia" w:ascii="仿宋_GB2312" w:hAnsi="仿宋" w:eastAsia="仿宋_GB2312" w:cs="Times New Roman"/>
          <w:b w:val="0"/>
          <w:bCs w:val="0"/>
          <w:kern w:val="2"/>
          <w:sz w:val="32"/>
          <w:szCs w:val="32"/>
          <w:lang w:val="en-US" w:eastAsia="zh-CN" w:bidi="ar-SA"/>
        </w:rPr>
      </w:pPr>
      <w:r>
        <w:rPr>
          <w:rFonts w:hint="eastAsia" w:ascii="楷体_GB2312" w:hAnsi="仿宋" w:eastAsia="楷体_GB2312" w:cs="Times New Roman"/>
          <w:b/>
          <w:sz w:val="32"/>
          <w:szCs w:val="32"/>
          <w:lang w:val="en-US" w:eastAsia="zh-CN"/>
        </w:rPr>
        <w:t xml:space="preserve"> 1.</w:t>
      </w:r>
      <w:r>
        <w:rPr>
          <w:rFonts w:hint="default" w:ascii="楷体_GB2312" w:hAnsi="仿宋" w:eastAsia="楷体_GB2312" w:cs="Times New Roman"/>
          <w:b/>
          <w:sz w:val="32"/>
          <w:szCs w:val="32"/>
          <w:lang w:val="en-US" w:eastAsia="zh-CN"/>
        </w:rPr>
        <w:t>强化改革组织领导</w:t>
      </w:r>
      <w:r>
        <w:rPr>
          <w:rFonts w:hint="eastAsia" w:ascii="楷体_GB2312" w:hAnsi="仿宋" w:eastAsia="楷体_GB2312" w:cs="Times New Roman"/>
          <w:b/>
          <w:sz w:val="32"/>
          <w:szCs w:val="32"/>
          <w:lang w:val="en-US" w:eastAsia="zh-CN"/>
        </w:rPr>
        <w:t>，</w:t>
      </w:r>
      <w:r>
        <w:rPr>
          <w:rFonts w:hint="default" w:ascii="楷体_GB2312" w:hAnsi="仿宋" w:eastAsia="楷体_GB2312" w:cs="Times New Roman"/>
          <w:b/>
          <w:sz w:val="32"/>
          <w:szCs w:val="32"/>
          <w:lang w:val="en-US" w:eastAsia="zh-CN"/>
        </w:rPr>
        <w:t>狠抓改革台账落实。</w:t>
      </w:r>
      <w:r>
        <w:rPr>
          <w:rFonts w:hint="default" w:ascii="仿宋_GB2312" w:hAnsi="仿宋" w:eastAsia="仿宋_GB2312" w:cs="Times New Roman"/>
          <w:b w:val="0"/>
          <w:bCs w:val="0"/>
          <w:kern w:val="2"/>
          <w:sz w:val="32"/>
          <w:szCs w:val="32"/>
          <w:lang w:val="en-US" w:eastAsia="zh-CN" w:bidi="ar-SA"/>
        </w:rPr>
        <w:t>优化完善“深改委统筹、专项小组牵头、县级部门抓落实”的工作机制，将“清单制+责任制”贯穿始终，县委常委会多次听取全面深化改革工作汇报，召开全面深化改革委员会议1次、专题推进会2次、重大改革工作推进会20余次，出台涉及改革方面文件20余个，保障改革工作全面推进。根据中央、省、市的改革部署，结合实际，制定出台全面深化改革工作要点、工作落实台账，明确九大改革领域工作任务，每一项改革任务均明确责任领导、责任部门、完成时限和验收标准。2022年，泸县严格对照市委改革办改革要点和改革台账，梳理改革任务95项，农村宅基地改革试点、基层卫生健康综合试验区建设、DIP付费试点等13项国省级重点改革工作强力推进</w:t>
      </w:r>
      <w:r>
        <w:rPr>
          <w:rFonts w:hint="eastAsia" w:ascii="仿宋_GB2312" w:hAnsi="仿宋" w:eastAsia="仿宋_GB2312" w:cs="Times New Roman"/>
          <w:b w:val="0"/>
          <w:bCs w:val="0"/>
          <w:kern w:val="2"/>
          <w:sz w:val="32"/>
          <w:szCs w:val="32"/>
          <w:lang w:val="en-US" w:eastAsia="zh-CN" w:bidi="ar-SA"/>
        </w:rPr>
        <w:t>。截至目前，完成改革试点台账28项，67项改革试点台账正有序推进。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 w:eastAsia="仿宋_GB2312" w:cs="Times New Roman"/>
          <w:b w:val="0"/>
          <w:bCs w:val="0"/>
          <w:kern w:val="2"/>
          <w:sz w:val="32"/>
          <w:szCs w:val="32"/>
          <w:lang w:val="en-US" w:eastAsia="zh-CN" w:bidi="ar-SA"/>
        </w:rPr>
      </w:pPr>
      <w:r>
        <w:rPr>
          <w:rFonts w:hint="eastAsia" w:ascii="楷体_GB2312" w:hAnsi="仿宋" w:eastAsia="楷体_GB2312" w:cs="Times New Roman"/>
          <w:b/>
          <w:sz w:val="32"/>
          <w:szCs w:val="32"/>
          <w:lang w:val="en-US" w:eastAsia="zh-CN"/>
        </w:rPr>
        <w:t>2.</w:t>
      </w:r>
      <w:r>
        <w:rPr>
          <w:rFonts w:hint="default" w:ascii="楷体_GB2312" w:hAnsi="仿宋" w:eastAsia="楷体_GB2312" w:cs="Times New Roman"/>
          <w:b/>
          <w:sz w:val="32"/>
          <w:szCs w:val="32"/>
          <w:lang w:val="en-US" w:eastAsia="zh-CN"/>
        </w:rPr>
        <w:t>强化政策调研，提供更多意见建议。</w:t>
      </w:r>
      <w:r>
        <w:rPr>
          <w:rFonts w:hint="default" w:ascii="仿宋_GB2312" w:hAnsi="仿宋" w:eastAsia="仿宋_GB2312" w:cs="Times New Roman"/>
          <w:b w:val="0"/>
          <w:bCs w:val="0"/>
          <w:kern w:val="2"/>
          <w:sz w:val="32"/>
          <w:szCs w:val="32"/>
          <w:lang w:val="en-US" w:eastAsia="zh-CN" w:bidi="ar-SA"/>
        </w:rPr>
        <w:t>紧紧围绕县委中心工作开展调查研究，围绕社会焦点、热点、难点问题，牵头组织开展全县调查研究工作，开展重点课题调研、综合性调研等工作，努力为领导科学决策提供可靠依据。202</w:t>
      </w:r>
      <w:r>
        <w:rPr>
          <w:rFonts w:hint="eastAsia" w:ascii="仿宋_GB2312" w:hAnsi="仿宋" w:eastAsia="仿宋_GB2312" w:cs="Times New Roman"/>
          <w:b w:val="0"/>
          <w:bCs w:val="0"/>
          <w:kern w:val="2"/>
          <w:sz w:val="32"/>
          <w:szCs w:val="32"/>
          <w:lang w:val="en-US" w:eastAsia="zh-CN" w:bidi="ar-SA"/>
        </w:rPr>
        <w:t>2</w:t>
      </w:r>
      <w:r>
        <w:rPr>
          <w:rFonts w:hint="default" w:ascii="仿宋_GB2312" w:hAnsi="仿宋" w:eastAsia="仿宋_GB2312" w:cs="Times New Roman"/>
          <w:b w:val="0"/>
          <w:bCs w:val="0"/>
          <w:kern w:val="2"/>
          <w:sz w:val="32"/>
          <w:szCs w:val="32"/>
          <w:lang w:val="en-US" w:eastAsia="zh-CN" w:bidi="ar-SA"/>
        </w:rPr>
        <w:t>年共牵头起草了县委十四届五次全会决定。完成了县委书记署名文章2篇，分别发表于四川日报、市委政研室《领导决策参考》。开展了“规范村庄建设小型工程项目”专题调研并形成调研成果。参与了泸县“9.5疫情”处置，并形成了疫情防控专报3篇。</w:t>
      </w:r>
    </w:p>
    <w:p>
      <w:pPr>
        <w:spacing w:line="578" w:lineRule="exact"/>
        <w:rPr>
          <w:rFonts w:hint="eastAsia" w:ascii="仿宋_GB2312" w:hAnsi="仿宋" w:eastAsia="仿宋_GB2312" w:cs="Times New Roman"/>
          <w:b w:val="0"/>
          <w:bCs w:val="0"/>
          <w:kern w:val="2"/>
          <w:sz w:val="32"/>
          <w:szCs w:val="32"/>
          <w:lang w:val="en-US" w:eastAsia="zh-CN" w:bidi="ar-SA"/>
        </w:rPr>
      </w:pPr>
      <w:r>
        <w:rPr>
          <w:rFonts w:hint="eastAsia" w:ascii="楷体_GB2312" w:hAnsi="仿宋" w:eastAsia="楷体_GB2312" w:cs="Times New Roman"/>
          <w:b/>
          <w:sz w:val="32"/>
          <w:szCs w:val="32"/>
          <w:lang w:val="en-US" w:eastAsia="zh-CN"/>
        </w:rPr>
        <w:t>3.</w:t>
      </w:r>
      <w:r>
        <w:rPr>
          <w:rFonts w:hint="default" w:ascii="楷体_GB2312" w:hAnsi="仿宋" w:eastAsia="楷体_GB2312" w:cs="Times New Roman"/>
          <w:b/>
          <w:sz w:val="32"/>
          <w:szCs w:val="32"/>
          <w:lang w:val="en-US" w:eastAsia="zh-CN"/>
        </w:rPr>
        <w:t>坚守主业主责，有序推进党史地方志业务</w:t>
      </w:r>
      <w:r>
        <w:rPr>
          <w:rFonts w:hint="eastAsia" w:ascii="楷体_GB2312" w:hAnsi="仿宋" w:eastAsia="楷体_GB2312" w:cs="Times New Roman"/>
          <w:b/>
          <w:sz w:val="32"/>
          <w:szCs w:val="32"/>
          <w:lang w:val="en-US" w:eastAsia="zh-CN"/>
        </w:rPr>
        <w:t>。</w:t>
      </w:r>
      <w:r>
        <w:rPr>
          <w:rFonts w:hint="eastAsia" w:ascii="仿宋_GB2312" w:hAnsi="仿宋" w:eastAsia="仿宋_GB2312" w:cs="Times New Roman"/>
          <w:b w:val="0"/>
          <w:bCs w:val="0"/>
          <w:kern w:val="2"/>
          <w:sz w:val="32"/>
          <w:szCs w:val="32"/>
          <w:lang w:val="en-US" w:eastAsia="zh-CN" w:bidi="ar-SA"/>
        </w:rPr>
        <w:t>全年认真推进上级党研室各项工作。根据中共党史出版社要求，继续推动《中国共产党泸县历史1949—1978》修改工作。《中共泸县县委执政实录2021》定稿付印。按照省委党研室要求，高质量完成红色遗址遗迹普查增报工作，新增燕子岩川南师范旧址、泸县烈士陵园等29处点位，初审通过28个，完成7个重点点位资料汇编。协调政协文史委、退役军人事务局、档案馆、融媒体中心共同参与，高质量完成抗美援朝运动相关资料征集工作。及时更新县委工作大事记。资政水平不断提高，《泸县探索建立“三社”融合模式推动小农生产与现代农业有机结合》收入《中国改革年鉴2021》，获得县委、县政府领导肯定。坚决贯彻省市年鉴高质量要求，排工期、跟进度、强审校，《泸县年鉴2022》于12月中旬由北京燕山出版社出版，《泸县年鉴（2021）》获得四川省第二十次地方志优秀成果三等奖。努力推进镇村志编纂工作，促进乡土文化构建，积极增强泸县自信文化元素，服务乡村振兴。全年出版镇志1部，为《牛滩镇志》。高效完成《泸州市镇村志略（泸县卷）》征稿工作。继续推进部门（行业）志工作，《泸县国土志》出版，《泸县人大志》完成送审稿。协调经费保障，强力促进名镇名村志工作，中国名镇名村志项目《立石镇志》完成市级送审稿，所有历史文化名村启动村志编纂工作。坚持开门办志，与龙文化研究院合作编纂《泸县农民演艺》并出版；积极协助县政协推动《泸县史》《泸县近现代史长篇》编纂工作。积极落实党史和地方志“进机关、进学校、进企业、进农村（社区）、进医院、进军营、进网络等”精神。在全县创建14个史志主题图书角。云锦镇史博物馆3月试运行，泸县嘉明文化站申报市级史志图书角示范点。全年向县级部门、镇街及有关单位赠送《泸县年鉴2021》268本、《中共泸县县委执政实录2020》168本。3月，《久久为功金石开，继往开来新时代——泸县党史地方志工作纪实》于《泸州史志》2022年第二期刊载。10月，在全省年鉴质量提升工作会议上，泸县作题为《高位推动 严控过程 聚焦发展 推动年鉴事业高质量发展》的经验交流发言，产生了良好影响，随后应邀向凉山州会东县史志办、山东省杨同杰教授等单位和个人赠送史志书籍11册。为全县各部门中心工作如地标产品申报、地名志编纂等多次提供精准服务，配合市委党研室在石桥镇完成村级（社区）党史微宣讲活动。</w:t>
      </w:r>
    </w:p>
    <w:p>
      <w:pPr>
        <w:pStyle w:val="4"/>
        <w:ind w:right="440"/>
        <w:jc w:val="center"/>
        <w:rPr>
          <w:rStyle w:val="29"/>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15"/>
      <w:bookmarkEnd w:id="16"/>
    </w:p>
    <w:p>
      <w:pPr>
        <w:rPr>
          <w:color w:val="auto"/>
          <w:highlight w:val="none"/>
        </w:rPr>
      </w:pP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17" w:name="_Toc15396603"/>
      <w:bookmarkStart w:id="18" w:name="_Toc15377205"/>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17"/>
      <w:bookmarkEnd w:id="18"/>
    </w:p>
    <w:p>
      <w:pPr>
        <w:spacing w:line="578"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年决算收入</w:t>
      </w:r>
      <w:r>
        <w:rPr>
          <w:rFonts w:hint="eastAsia" w:ascii="仿宋" w:hAnsi="仿宋" w:eastAsia="仿宋"/>
          <w:color w:val="000000"/>
          <w:sz w:val="32"/>
          <w:szCs w:val="32"/>
          <w:lang w:val="en-US" w:eastAsia="zh-CN"/>
        </w:rPr>
        <w:t>169.72</w:t>
      </w:r>
      <w:r>
        <w:rPr>
          <w:rFonts w:hint="eastAsia" w:ascii="仿宋" w:hAnsi="仿宋" w:eastAsia="仿宋"/>
          <w:color w:val="000000"/>
          <w:sz w:val="32"/>
          <w:szCs w:val="32"/>
        </w:rPr>
        <w:t>万元，较202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 xml:space="preserve">年决算收入 </w:t>
      </w:r>
      <w:r>
        <w:rPr>
          <w:rFonts w:hint="eastAsia" w:ascii="仿宋" w:hAnsi="仿宋" w:eastAsia="仿宋" w:cs="Times New Roman"/>
          <w:color w:val="000000"/>
          <w:sz w:val="32"/>
          <w:szCs w:val="32"/>
          <w:lang w:val="en-US" w:eastAsia="zh-CN"/>
        </w:rPr>
        <w:t>161.25</w:t>
      </w:r>
      <w:r>
        <w:rPr>
          <w:rFonts w:hint="eastAsia" w:ascii="仿宋" w:hAnsi="仿宋" w:eastAsia="仿宋" w:cs="Times New Roman"/>
          <w:color w:val="000000"/>
          <w:sz w:val="32"/>
          <w:szCs w:val="32"/>
        </w:rPr>
        <w:t>万元增加</w:t>
      </w:r>
      <w:r>
        <w:rPr>
          <w:rFonts w:hint="eastAsia" w:ascii="仿宋" w:hAnsi="仿宋" w:eastAsia="仿宋" w:cs="Times New Roman"/>
          <w:color w:val="000000"/>
          <w:sz w:val="32"/>
          <w:szCs w:val="32"/>
          <w:lang w:val="en-US" w:eastAsia="zh-CN"/>
        </w:rPr>
        <w:t>8.47</w:t>
      </w:r>
      <w:r>
        <w:rPr>
          <w:rFonts w:hint="eastAsia" w:ascii="仿宋" w:hAnsi="仿宋" w:eastAsia="仿宋" w:cs="Times New Roman"/>
          <w:color w:val="000000"/>
          <w:sz w:val="32"/>
          <w:szCs w:val="32"/>
        </w:rPr>
        <w:t>万元，增加</w:t>
      </w:r>
      <w:r>
        <w:rPr>
          <w:rFonts w:hint="eastAsia" w:ascii="仿宋" w:hAnsi="仿宋" w:eastAsia="仿宋" w:cs="Times New Roman"/>
          <w:color w:val="000000"/>
          <w:sz w:val="32"/>
          <w:szCs w:val="32"/>
          <w:lang w:val="en-US" w:eastAsia="zh-CN"/>
        </w:rPr>
        <w:t>5.25</w:t>
      </w:r>
      <w:r>
        <w:rPr>
          <w:rFonts w:hint="eastAsia" w:ascii="仿宋" w:hAnsi="仿宋" w:eastAsia="仿宋" w:cs="Times New Roman"/>
          <w:color w:val="000000"/>
          <w:sz w:val="32"/>
          <w:szCs w:val="32"/>
        </w:rPr>
        <w:t>%，主要原因人员经费增加；202</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年决算支出</w:t>
      </w:r>
      <w:r>
        <w:rPr>
          <w:rFonts w:hint="eastAsia" w:ascii="仿宋" w:hAnsi="仿宋" w:eastAsia="仿宋" w:cs="Times New Roman"/>
          <w:color w:val="000000"/>
          <w:sz w:val="32"/>
          <w:szCs w:val="32"/>
          <w:lang w:val="en-US" w:eastAsia="zh-CN"/>
        </w:rPr>
        <w:t>172.23</w:t>
      </w:r>
      <w:r>
        <w:rPr>
          <w:rFonts w:hint="eastAsia" w:ascii="仿宋" w:hAnsi="仿宋" w:eastAsia="仿宋" w:cs="Times New Roman"/>
          <w:color w:val="000000"/>
          <w:sz w:val="32"/>
          <w:szCs w:val="32"/>
        </w:rPr>
        <w:t>万元，较202</w:t>
      </w: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rPr>
        <w:t>年支出</w:t>
      </w:r>
      <w:r>
        <w:rPr>
          <w:rFonts w:hint="eastAsia" w:ascii="仿宋" w:hAnsi="仿宋" w:eastAsia="仿宋" w:cs="Times New Roman"/>
          <w:color w:val="000000"/>
          <w:sz w:val="32"/>
          <w:szCs w:val="32"/>
          <w:lang w:val="en-US" w:eastAsia="zh-CN"/>
        </w:rPr>
        <w:t>198.78</w:t>
      </w:r>
      <w:r>
        <w:rPr>
          <w:rFonts w:hint="eastAsia" w:ascii="仿宋" w:hAnsi="仿宋" w:eastAsia="仿宋" w:cs="Times New Roman"/>
          <w:color w:val="000000"/>
          <w:sz w:val="32"/>
          <w:szCs w:val="32"/>
        </w:rPr>
        <w:t>万元</w:t>
      </w:r>
      <w:r>
        <w:rPr>
          <w:rFonts w:hint="eastAsia" w:ascii="仿宋" w:hAnsi="仿宋" w:eastAsia="仿宋" w:cs="Times New Roman"/>
          <w:color w:val="000000"/>
          <w:sz w:val="32"/>
          <w:szCs w:val="32"/>
          <w:lang w:val="en-US" w:eastAsia="zh-CN"/>
        </w:rPr>
        <w:t>减少26.55</w:t>
      </w:r>
      <w:r>
        <w:rPr>
          <w:rFonts w:hint="eastAsia" w:ascii="仿宋" w:hAnsi="仿宋" w:eastAsia="仿宋" w:cs="Times New Roman"/>
          <w:color w:val="000000"/>
          <w:sz w:val="32"/>
          <w:szCs w:val="32"/>
        </w:rPr>
        <w:t>万元，</w:t>
      </w:r>
      <w:r>
        <w:rPr>
          <w:rFonts w:hint="eastAsia" w:ascii="仿宋" w:hAnsi="仿宋" w:eastAsia="仿宋" w:cs="Times New Roman"/>
          <w:color w:val="000000"/>
          <w:sz w:val="32"/>
          <w:szCs w:val="32"/>
          <w:lang w:val="en-US" w:eastAsia="zh-CN"/>
        </w:rPr>
        <w:t>减少13.36</w:t>
      </w:r>
      <w:r>
        <w:rPr>
          <w:rFonts w:hint="eastAsia" w:ascii="仿宋" w:hAnsi="仿宋" w:eastAsia="仿宋" w:cs="Times New Roman"/>
          <w:color w:val="000000"/>
          <w:sz w:val="32"/>
          <w:szCs w:val="32"/>
        </w:rPr>
        <w:t>%，主要原因是</w:t>
      </w:r>
      <w:r>
        <w:rPr>
          <w:rFonts w:hint="eastAsia" w:ascii="仿宋" w:hAnsi="仿宋" w:eastAsia="仿宋" w:cs="Times New Roman"/>
          <w:color w:val="000000"/>
          <w:sz w:val="32"/>
          <w:szCs w:val="32"/>
          <w:lang w:val="en-US" w:eastAsia="zh-CN"/>
        </w:rPr>
        <w:t>项目经费减少</w:t>
      </w:r>
      <w:r>
        <w:rPr>
          <w:rFonts w:hint="eastAsia" w:ascii="仿宋" w:hAnsi="仿宋" w:eastAsia="仿宋" w:cs="Times New Roman"/>
          <w:color w:val="000000"/>
          <w:sz w:val="32"/>
          <w:szCs w:val="32"/>
        </w:rPr>
        <w:t>。</w:t>
      </w:r>
    </w:p>
    <w:p>
      <w:pPr>
        <w:pStyle w:val="7"/>
        <w:rPr>
          <w:rFonts w:hint="eastAsia"/>
          <w:lang w:eastAsia="zh-CN"/>
        </w:rPr>
      </w:pPr>
      <w:r>
        <w:rPr>
          <w:rFonts w:hint="eastAsia"/>
          <w:lang w:eastAsia="zh-CN"/>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19" w:name="_Toc15396604"/>
      <w:bookmarkStart w:id="20" w:name="_Toc15377206"/>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19"/>
      <w:bookmarkEnd w:id="20"/>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169.72</w:t>
      </w:r>
      <w:r>
        <w:rPr>
          <w:rFonts w:hint="eastAsia" w:ascii="仿宋" w:hAnsi="仿宋" w:eastAsia="仿宋"/>
          <w:color w:val="auto"/>
          <w:sz w:val="32"/>
          <w:szCs w:val="32"/>
          <w:highlight w:val="none"/>
        </w:rPr>
        <w:t>万元，其中：一般</w:t>
      </w:r>
      <w:bookmarkEnd w:id="67"/>
      <w:r>
        <w:rPr>
          <w:rFonts w:hint="eastAsia" w:ascii="仿宋" w:hAnsi="仿宋" w:eastAsia="仿宋"/>
          <w:color w:val="auto"/>
          <w:sz w:val="32"/>
          <w:szCs w:val="32"/>
          <w:highlight w:val="none"/>
        </w:rPr>
        <w:t>公共预算财政拨款收入</w:t>
      </w:r>
      <w:r>
        <w:rPr>
          <w:rFonts w:hint="eastAsia" w:ascii="仿宋" w:hAnsi="仿宋" w:eastAsia="仿宋"/>
          <w:color w:val="auto"/>
          <w:sz w:val="32"/>
          <w:szCs w:val="32"/>
          <w:highlight w:val="none"/>
          <w:lang w:val="en-US" w:eastAsia="zh-CN"/>
        </w:rPr>
        <w:t>169.72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p>
    <w:p>
      <w:pPr>
        <w:pStyle w:val="7"/>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143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21" w:name="_Toc15396605"/>
      <w:bookmarkStart w:id="22" w:name="_Toc15377207"/>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21"/>
      <w:bookmarkEnd w:id="22"/>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172.23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82.72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48.03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89.51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51.97</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，仅罗列本部门涉及的支出。</w:t>
      </w:r>
      <w:r>
        <w:rPr>
          <w:rFonts w:hint="eastAsia" w:ascii="仿宋" w:hAnsi="仿宋" w:eastAsia="仿宋"/>
          <w:b/>
          <w:color w:val="auto"/>
          <w:sz w:val="32"/>
          <w:szCs w:val="32"/>
          <w:highlight w:val="none"/>
        </w:rPr>
        <w:t>）</w:t>
      </w:r>
    </w:p>
    <w:p>
      <w:pPr>
        <w:pStyle w:val="7"/>
        <w:rPr>
          <w:rFonts w:hint="eastAsia" w:ascii="仿宋" w:hAnsi="仿宋" w:eastAsia="仿宋"/>
          <w:b/>
          <w:color w:val="auto"/>
          <w:sz w:val="32"/>
          <w:szCs w:val="32"/>
          <w:highlight w:val="none"/>
        </w:rPr>
      </w:pPr>
    </w:p>
    <w:p>
      <w:pPr>
        <w:pStyle w:val="7"/>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inline distT="0" distB="0" distL="114300" distR="114300">
            <wp:extent cx="5256530" cy="2997835"/>
            <wp:effectExtent l="4445" t="4445" r="12065"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rPr>
          <w:rFonts w:ascii="仿宋" w:hAnsi="仿宋" w:eastAsia="仿宋"/>
          <w:color w:val="auto"/>
          <w:sz w:val="32"/>
          <w:szCs w:val="32"/>
          <w:highlight w:val="none"/>
          <w:shd w:val="pct10" w:color="auto" w:fill="FFFFFF"/>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30"/>
          <w:rFonts w:ascii="黑体" w:hAnsi="黑体" w:eastAsia="黑体"/>
          <w:b w:val="0"/>
          <w:color w:val="auto"/>
          <w:highlight w:val="none"/>
        </w:rPr>
      </w:pPr>
      <w:bookmarkStart w:id="23" w:name="_Toc15396606"/>
      <w:bookmarkStart w:id="24" w:name="_Toc15377208"/>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23"/>
      <w:bookmarkEnd w:id="24"/>
    </w:p>
    <w:p>
      <w:pPr>
        <w:spacing w:line="578" w:lineRule="exact"/>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年财政拨款收入</w:t>
      </w:r>
      <w:r>
        <w:rPr>
          <w:rFonts w:hint="eastAsia" w:ascii="仿宋" w:hAnsi="仿宋" w:eastAsia="仿宋"/>
          <w:sz w:val="32"/>
          <w:szCs w:val="32"/>
          <w:lang w:val="en-US" w:eastAsia="zh-CN"/>
        </w:rPr>
        <w:t>169.72</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年财政拨款</w:t>
      </w:r>
      <w:r>
        <w:rPr>
          <w:rFonts w:hint="eastAsia" w:ascii="仿宋" w:hAnsi="仿宋" w:eastAsia="仿宋" w:cs="宋体"/>
          <w:bCs/>
          <w:kern w:val="0"/>
          <w:sz w:val="32"/>
          <w:szCs w:val="32"/>
        </w:rPr>
        <w:t>收入</w:t>
      </w:r>
      <w:r>
        <w:rPr>
          <w:rFonts w:hint="eastAsia" w:ascii="仿宋" w:hAnsi="仿宋" w:eastAsia="仿宋" w:cs="宋体"/>
          <w:bCs/>
          <w:kern w:val="0"/>
          <w:sz w:val="32"/>
          <w:szCs w:val="32"/>
          <w:lang w:val="en-US" w:eastAsia="zh-CN"/>
        </w:rPr>
        <w:t>161.25</w:t>
      </w:r>
      <w:r>
        <w:rPr>
          <w:rFonts w:hint="eastAsia" w:ascii="仿宋" w:hAnsi="仿宋" w:eastAsia="仿宋" w:cs="宋体"/>
          <w:bCs/>
          <w:kern w:val="0"/>
          <w:sz w:val="32"/>
          <w:szCs w:val="32"/>
        </w:rPr>
        <w:t>万元增加了</w:t>
      </w:r>
      <w:r>
        <w:rPr>
          <w:rFonts w:hint="eastAsia" w:ascii="仿宋" w:hAnsi="仿宋" w:eastAsia="仿宋" w:cs="宋体"/>
          <w:bCs/>
          <w:kern w:val="0"/>
          <w:sz w:val="32"/>
          <w:szCs w:val="32"/>
          <w:lang w:val="en-US" w:eastAsia="zh-CN"/>
        </w:rPr>
        <w:t>8.47</w:t>
      </w:r>
      <w:r>
        <w:rPr>
          <w:rFonts w:hint="eastAsia" w:ascii="仿宋" w:hAnsi="仿宋" w:eastAsia="仿宋" w:cs="宋体"/>
          <w:bCs/>
          <w:kern w:val="0"/>
          <w:sz w:val="32"/>
          <w:szCs w:val="32"/>
        </w:rPr>
        <w:t>万元，增加</w:t>
      </w:r>
      <w:r>
        <w:rPr>
          <w:rFonts w:hint="eastAsia" w:ascii="仿宋" w:hAnsi="仿宋" w:eastAsia="仿宋" w:cs="宋体"/>
          <w:bCs/>
          <w:kern w:val="0"/>
          <w:sz w:val="32"/>
          <w:szCs w:val="32"/>
          <w:lang w:val="en-US" w:eastAsia="zh-CN"/>
        </w:rPr>
        <w:t>5.25</w:t>
      </w:r>
      <w:r>
        <w:rPr>
          <w:rFonts w:hint="eastAsia" w:ascii="仿宋" w:hAnsi="仿宋" w:eastAsia="仿宋" w:cs="宋体"/>
          <w:bCs/>
          <w:kern w:val="0"/>
          <w:sz w:val="32"/>
          <w:szCs w:val="32"/>
        </w:rPr>
        <w:t xml:space="preserve"> %，</w:t>
      </w:r>
      <w:bookmarkStart w:id="25" w:name="_Hlk120691748"/>
      <w:r>
        <w:rPr>
          <w:rFonts w:hint="eastAsia" w:ascii="仿宋" w:hAnsi="仿宋" w:eastAsia="仿宋" w:cs="宋体"/>
          <w:bCs/>
          <w:kern w:val="0"/>
          <w:sz w:val="32"/>
          <w:szCs w:val="32"/>
        </w:rPr>
        <w:t>主要原因是项目增加。</w:t>
      </w:r>
      <w:bookmarkEnd w:id="25"/>
      <w:r>
        <w:rPr>
          <w:rFonts w:hint="eastAsia" w:ascii="仿宋" w:hAnsi="仿宋" w:eastAsia="仿宋" w:cs="宋体"/>
          <w:bCs/>
          <w:kern w:val="0"/>
          <w:sz w:val="32"/>
          <w:szCs w:val="32"/>
        </w:rPr>
        <w:t>202</w:t>
      </w:r>
      <w:r>
        <w:rPr>
          <w:rFonts w:hint="eastAsia" w:ascii="仿宋" w:hAnsi="仿宋" w:eastAsia="仿宋" w:cs="宋体"/>
          <w:bCs/>
          <w:kern w:val="0"/>
          <w:sz w:val="32"/>
          <w:szCs w:val="32"/>
          <w:lang w:val="en-US" w:eastAsia="zh-CN"/>
        </w:rPr>
        <w:t>2</w:t>
      </w:r>
      <w:r>
        <w:rPr>
          <w:rFonts w:hint="eastAsia" w:ascii="仿宋" w:hAnsi="仿宋" w:eastAsia="仿宋" w:cs="宋体"/>
          <w:bCs/>
          <w:kern w:val="0"/>
          <w:sz w:val="32"/>
          <w:szCs w:val="32"/>
        </w:rPr>
        <w:t>年决算支出</w:t>
      </w:r>
      <w:r>
        <w:rPr>
          <w:rFonts w:hint="eastAsia" w:ascii="仿宋" w:hAnsi="仿宋" w:eastAsia="仿宋" w:cs="宋体"/>
          <w:bCs/>
          <w:kern w:val="0"/>
          <w:sz w:val="32"/>
          <w:szCs w:val="32"/>
          <w:lang w:val="en-US" w:eastAsia="zh-CN"/>
        </w:rPr>
        <w:t>172.23</w:t>
      </w:r>
      <w:r>
        <w:rPr>
          <w:rFonts w:hint="eastAsia" w:ascii="仿宋" w:hAnsi="仿宋" w:eastAsia="仿宋" w:cs="宋体"/>
          <w:bCs/>
          <w:kern w:val="0"/>
          <w:sz w:val="32"/>
          <w:szCs w:val="32"/>
        </w:rPr>
        <w:t>万元，较202</w:t>
      </w:r>
      <w:r>
        <w:rPr>
          <w:rFonts w:hint="eastAsia" w:ascii="仿宋" w:hAnsi="仿宋" w:eastAsia="仿宋" w:cs="宋体"/>
          <w:bCs/>
          <w:kern w:val="0"/>
          <w:sz w:val="32"/>
          <w:szCs w:val="32"/>
          <w:lang w:val="en-US" w:eastAsia="zh-CN"/>
        </w:rPr>
        <w:t>1</w:t>
      </w:r>
      <w:r>
        <w:rPr>
          <w:rFonts w:hint="eastAsia" w:ascii="仿宋" w:hAnsi="仿宋" w:eastAsia="仿宋" w:cs="宋体"/>
          <w:bCs/>
          <w:kern w:val="0"/>
          <w:sz w:val="32"/>
          <w:szCs w:val="32"/>
        </w:rPr>
        <w:t>年支出</w:t>
      </w:r>
      <w:r>
        <w:rPr>
          <w:rFonts w:hint="eastAsia" w:ascii="仿宋" w:hAnsi="仿宋" w:eastAsia="仿宋" w:cs="宋体"/>
          <w:bCs/>
          <w:kern w:val="0"/>
          <w:sz w:val="32"/>
          <w:szCs w:val="32"/>
          <w:lang w:val="en-US" w:eastAsia="zh-CN"/>
        </w:rPr>
        <w:t>198.78</w:t>
      </w:r>
      <w:r>
        <w:rPr>
          <w:rFonts w:hint="eastAsia" w:ascii="仿宋" w:hAnsi="仿宋" w:eastAsia="仿宋" w:cs="宋体"/>
          <w:bCs/>
          <w:kern w:val="0"/>
          <w:sz w:val="32"/>
          <w:szCs w:val="32"/>
        </w:rPr>
        <w:t>万元，</w:t>
      </w:r>
      <w:r>
        <w:rPr>
          <w:rFonts w:hint="eastAsia" w:ascii="仿宋" w:hAnsi="仿宋" w:eastAsia="仿宋" w:cs="宋体"/>
          <w:bCs/>
          <w:kern w:val="0"/>
          <w:sz w:val="32"/>
          <w:szCs w:val="32"/>
          <w:lang w:val="en-US" w:eastAsia="zh-CN"/>
        </w:rPr>
        <w:t>减少26.55</w:t>
      </w:r>
      <w:r>
        <w:rPr>
          <w:rFonts w:hint="eastAsia" w:ascii="仿宋" w:hAnsi="仿宋" w:eastAsia="仿宋" w:cs="宋体"/>
          <w:bCs/>
          <w:kern w:val="0"/>
          <w:sz w:val="32"/>
          <w:szCs w:val="32"/>
        </w:rPr>
        <w:t>万元，</w:t>
      </w:r>
      <w:r>
        <w:rPr>
          <w:rFonts w:hint="eastAsia" w:ascii="仿宋" w:hAnsi="仿宋" w:eastAsia="仿宋" w:cs="宋体"/>
          <w:bCs/>
          <w:kern w:val="0"/>
          <w:sz w:val="32"/>
          <w:szCs w:val="32"/>
          <w:lang w:val="en-US" w:eastAsia="zh-CN"/>
        </w:rPr>
        <w:t>减少13.36</w:t>
      </w:r>
      <w:r>
        <w:rPr>
          <w:rFonts w:hint="eastAsia" w:ascii="仿宋" w:hAnsi="仿宋" w:eastAsia="仿宋" w:cs="宋体"/>
          <w:bCs/>
          <w:kern w:val="0"/>
          <w:sz w:val="32"/>
          <w:szCs w:val="32"/>
        </w:rPr>
        <w:t>%，主要原因是人员经费</w:t>
      </w:r>
      <w:r>
        <w:rPr>
          <w:rFonts w:hint="eastAsia" w:ascii="仿宋" w:hAnsi="仿宋" w:eastAsia="仿宋" w:cs="宋体"/>
          <w:bCs/>
          <w:kern w:val="0"/>
          <w:sz w:val="32"/>
          <w:szCs w:val="32"/>
          <w:lang w:val="en-US" w:eastAsia="zh-CN"/>
        </w:rPr>
        <w:t>减少</w:t>
      </w:r>
      <w:r>
        <w:rPr>
          <w:rFonts w:hint="eastAsia" w:ascii="仿宋" w:hAnsi="仿宋" w:eastAsia="仿宋" w:cs="宋体"/>
          <w:bCs/>
          <w:kern w:val="0"/>
          <w:sz w:val="32"/>
          <w:szCs w:val="32"/>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394970</wp:posOffset>
            </wp:positionH>
            <wp:positionV relativeFrom="paragraph">
              <wp:posOffset>214630</wp:posOffset>
            </wp:positionV>
            <wp:extent cx="4808855" cy="2360295"/>
            <wp:effectExtent l="4445" t="5080" r="17780" b="1206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30"/>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FF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172.23</w:t>
      </w:r>
      <w:r>
        <w:rPr>
          <w:rFonts w:hint="eastAsia" w:ascii="仿宋" w:hAnsi="仿宋" w:eastAsia="仿宋"/>
          <w:color w:val="auto"/>
          <w:sz w:val="32"/>
          <w:szCs w:val="32"/>
          <w:highlight w:val="none"/>
        </w:rPr>
        <w:t>万元，占本年</w:t>
      </w:r>
      <w:r>
        <w:rPr>
          <w:rFonts w:hint="eastAsia" w:ascii="仿宋" w:hAnsi="仿宋" w:eastAsia="仿宋" w:cs="Times New Roman"/>
          <w:color w:val="auto"/>
          <w:sz w:val="32"/>
          <w:szCs w:val="32"/>
          <w:highlight w:val="none"/>
        </w:rPr>
        <w:t>支出合计的</w:t>
      </w:r>
      <w:r>
        <w:rPr>
          <w:rFonts w:hint="eastAsia" w:ascii="仿宋" w:hAnsi="仿宋" w:eastAsia="仿宋" w:cs="Times New Roman"/>
          <w:color w:val="auto"/>
          <w:sz w:val="32"/>
          <w:szCs w:val="32"/>
          <w:highlight w:val="none"/>
          <w:lang w:val="en-US" w:eastAsia="zh-CN"/>
        </w:rPr>
        <w:t>100</w:t>
      </w:r>
      <w:r>
        <w:rPr>
          <w:rFonts w:hint="eastAsia" w:ascii="仿宋" w:hAnsi="仿宋" w:eastAsia="仿宋" w:cs="Times New Roman"/>
          <w:color w:val="auto"/>
          <w:sz w:val="32"/>
          <w:szCs w:val="32"/>
          <w:highlight w:val="none"/>
        </w:rPr>
        <w:t>%。与20</w:t>
      </w:r>
      <w:r>
        <w:rPr>
          <w:rFonts w:hint="eastAsia" w:ascii="仿宋" w:hAnsi="仿宋" w:eastAsia="仿宋" w:cs="Times New Roman"/>
          <w:color w:val="auto"/>
          <w:sz w:val="32"/>
          <w:szCs w:val="32"/>
          <w:highlight w:val="none"/>
          <w:lang w:val="en-US" w:eastAsia="zh-CN"/>
        </w:rPr>
        <w:t>21</w:t>
      </w:r>
      <w:r>
        <w:rPr>
          <w:rFonts w:hint="eastAsia" w:ascii="仿宋" w:hAnsi="仿宋" w:eastAsia="仿宋" w:cs="Times New Roman"/>
          <w:color w:val="auto"/>
          <w:sz w:val="32"/>
          <w:szCs w:val="32"/>
          <w:highlight w:val="none"/>
        </w:rPr>
        <w:t>年相比，一般公共预算财政拨款</w:t>
      </w:r>
      <w:r>
        <w:rPr>
          <w:rFonts w:hint="eastAsia" w:ascii="仿宋" w:hAnsi="仿宋" w:eastAsia="仿宋" w:cs="Times New Roman"/>
          <w:color w:val="auto"/>
          <w:sz w:val="32"/>
          <w:szCs w:val="32"/>
          <w:highlight w:val="none"/>
          <w:lang w:eastAsia="zh-CN"/>
        </w:rPr>
        <w:t>支出</w:t>
      </w:r>
      <w:r>
        <w:rPr>
          <w:rFonts w:hint="eastAsia" w:ascii="仿宋" w:hAnsi="仿宋" w:eastAsia="仿宋" w:cs="Times New Roman"/>
          <w:color w:val="auto"/>
          <w:sz w:val="32"/>
          <w:szCs w:val="32"/>
          <w:highlight w:val="none"/>
        </w:rPr>
        <w:t>减少</w:t>
      </w:r>
      <w:r>
        <w:rPr>
          <w:rFonts w:hint="eastAsia" w:ascii="仿宋" w:hAnsi="仿宋" w:eastAsia="仿宋" w:cs="Times New Roman"/>
          <w:color w:val="auto"/>
          <w:sz w:val="32"/>
          <w:szCs w:val="32"/>
          <w:highlight w:val="none"/>
          <w:lang w:val="en-US" w:eastAsia="zh-CN"/>
        </w:rPr>
        <w:t>26.55</w:t>
      </w:r>
      <w:r>
        <w:rPr>
          <w:rFonts w:hint="eastAsia" w:ascii="仿宋" w:hAnsi="仿宋" w:eastAsia="仿宋" w:cs="Times New Roman"/>
          <w:color w:val="auto"/>
          <w:sz w:val="32"/>
          <w:szCs w:val="32"/>
          <w:highlight w:val="none"/>
        </w:rPr>
        <w:t>万元，下降</w:t>
      </w:r>
      <w:r>
        <w:rPr>
          <w:rFonts w:hint="eastAsia" w:ascii="仿宋" w:hAnsi="仿宋" w:eastAsia="仿宋" w:cs="Times New Roman"/>
          <w:color w:val="auto"/>
          <w:sz w:val="32"/>
          <w:szCs w:val="32"/>
          <w:highlight w:val="none"/>
          <w:lang w:val="en-US" w:eastAsia="zh-CN"/>
        </w:rPr>
        <w:t>13.36</w:t>
      </w:r>
      <w:r>
        <w:rPr>
          <w:rFonts w:hint="eastAsia" w:ascii="仿宋" w:hAnsi="仿宋" w:eastAsia="仿宋" w:cs="Times New Roman"/>
          <w:color w:val="auto"/>
          <w:sz w:val="32"/>
          <w:szCs w:val="32"/>
          <w:highlight w:val="none"/>
        </w:rPr>
        <w:t>%。主要变动原因是主要原因是人员经费</w:t>
      </w:r>
      <w:r>
        <w:rPr>
          <w:rFonts w:hint="eastAsia" w:ascii="仿宋" w:hAnsi="仿宋" w:eastAsia="仿宋" w:cs="Times New Roman"/>
          <w:color w:val="auto"/>
          <w:sz w:val="32"/>
          <w:szCs w:val="32"/>
          <w:highlight w:val="none"/>
          <w:lang w:val="en-US" w:eastAsia="zh-CN"/>
        </w:rPr>
        <w:t>减少</w:t>
      </w:r>
      <w:r>
        <w:rPr>
          <w:rFonts w:hint="eastAsia" w:ascii="仿宋" w:hAnsi="仿宋" w:eastAsia="仿宋" w:cs="Times New Roman"/>
          <w:color w:val="auto"/>
          <w:sz w:val="32"/>
          <w:szCs w:val="32"/>
          <w:highlight w:val="none"/>
        </w:rPr>
        <w:t>。</w:t>
      </w:r>
    </w:p>
    <w:p>
      <w:pPr>
        <w:pStyle w:val="7"/>
        <w:rPr>
          <w:rFonts w:hint="eastAsia" w:eastAsia="仿宋_GB2312"/>
          <w:lang w:eastAsia="zh-CN"/>
        </w:rPr>
      </w:pPr>
      <w:r>
        <w:rPr>
          <w:rFonts w:hint="eastAsia" w:eastAsia="仿宋_GB2312"/>
          <w:lang w:eastAsia="zh-CN"/>
        </w:rPr>
        <w:drawing>
          <wp:inline distT="0" distB="0" distL="114300" distR="114300">
            <wp:extent cx="4754245" cy="2531110"/>
            <wp:effectExtent l="4445" t="4445" r="1143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172.23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160.17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4.21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-53340</wp:posOffset>
            </wp:positionH>
            <wp:positionV relativeFrom="paragraph">
              <wp:posOffset>189865</wp:posOffset>
            </wp:positionV>
            <wp:extent cx="5256530" cy="2988310"/>
            <wp:effectExtent l="5080" t="4445" r="11430" b="952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本部门涉及的全部</w:t>
      </w:r>
      <w:r>
        <w:rPr>
          <w:rFonts w:hint="eastAsia" w:ascii="仿宋" w:hAnsi="仿宋" w:eastAsia="仿宋"/>
          <w:b/>
          <w:color w:val="auto"/>
          <w:sz w:val="32"/>
          <w:szCs w:val="32"/>
          <w:highlight w:val="none"/>
        </w:rPr>
        <w:t>功能分类科目，至类级。）</w:t>
      </w: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（图6：一般公共预算财政拨款支出决算结构）（饼状图）</w:t>
      </w:r>
      <w:bookmarkStart w:id="30" w:name="_Toc15377212"/>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444"/>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172.23</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1"/>
      <w:bookmarkEnd w:id="32"/>
      <w:bookmarkEnd w:id="33"/>
    </w:p>
    <w:p>
      <w:pPr>
        <w:snapToGrid w:val="0"/>
        <w:spacing w:line="578"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hint="eastAsia"/>
        </w:rPr>
        <w:t xml:space="preserve"> </w:t>
      </w:r>
      <w:r>
        <w:rPr>
          <w:rFonts w:hint="eastAsia" w:ascii="仿宋" w:hAnsi="仿宋" w:eastAsia="仿宋" w:cs="宋体"/>
          <w:bCs/>
          <w:kern w:val="0"/>
          <w:sz w:val="32"/>
          <w:szCs w:val="32"/>
        </w:rPr>
        <w:t>一般公共服务（类）群众团体事务（款）行政运行（项）（2013101）: 支出决算为</w:t>
      </w:r>
      <w:r>
        <w:rPr>
          <w:rFonts w:hint="eastAsia" w:ascii="仿宋" w:hAnsi="仿宋" w:eastAsia="仿宋" w:cs="宋体"/>
          <w:bCs/>
          <w:kern w:val="0"/>
          <w:sz w:val="32"/>
          <w:szCs w:val="32"/>
          <w:lang w:val="en-US" w:eastAsia="zh-CN"/>
        </w:rPr>
        <w:t>60.7</w:t>
      </w:r>
      <w:r>
        <w:rPr>
          <w:rFonts w:hint="eastAsia" w:ascii="仿宋" w:hAnsi="仿宋" w:eastAsia="仿宋" w:cs="宋体"/>
          <w:bCs/>
          <w:kern w:val="0"/>
          <w:sz w:val="32"/>
          <w:szCs w:val="32"/>
        </w:rPr>
        <w:t>万元，完成预算100 %</w:t>
      </w:r>
      <w:r>
        <w:rPr>
          <w:rStyle w:val="17"/>
          <w:rFonts w:hint="eastAsia" w:ascii="仿宋" w:hAnsi="仿宋" w:eastAsia="仿宋"/>
          <w:b w:val="0"/>
          <w:bCs/>
          <w:sz w:val="32"/>
          <w:szCs w:val="32"/>
        </w:rPr>
        <w:t>。决算数与预算数持平。</w:t>
      </w:r>
    </w:p>
    <w:p>
      <w:pPr>
        <w:spacing w:line="578"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 一般公共服务（类）群众团体事务（款）一般行政管理事务（项）（2013102）: 支出决算为</w:t>
      </w:r>
      <w:r>
        <w:rPr>
          <w:rFonts w:hint="eastAsia" w:ascii="仿宋" w:hAnsi="仿宋" w:eastAsia="仿宋"/>
          <w:color w:val="000000"/>
          <w:sz w:val="32"/>
          <w:szCs w:val="32"/>
          <w:lang w:val="en-US" w:eastAsia="zh-CN"/>
        </w:rPr>
        <w:t>29.6</w:t>
      </w:r>
      <w:r>
        <w:rPr>
          <w:rFonts w:hint="eastAsia" w:ascii="仿宋" w:hAnsi="仿宋" w:eastAsia="仿宋"/>
          <w:color w:val="000000"/>
          <w:sz w:val="32"/>
          <w:szCs w:val="32"/>
        </w:rPr>
        <w:t>万元，完成预算100%。决算数与预算数持平。</w:t>
      </w:r>
    </w:p>
    <w:p>
      <w:pPr>
        <w:spacing w:line="578"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3.一般公共服务（类）</w:t>
      </w:r>
      <w:r>
        <w:rPr>
          <w:rFonts w:hint="eastAsia" w:ascii="仿宋" w:hAnsi="仿宋" w:eastAsia="仿宋"/>
          <w:color w:val="000000"/>
          <w:sz w:val="32"/>
          <w:szCs w:val="32"/>
        </w:rPr>
        <w:t>群众团体事务（款）</w:t>
      </w:r>
      <w:r>
        <w:rPr>
          <w:rFonts w:hint="eastAsia" w:ascii="仿宋" w:hAnsi="仿宋" w:eastAsia="仿宋"/>
          <w:color w:val="000000"/>
          <w:sz w:val="32"/>
          <w:szCs w:val="32"/>
          <w:lang w:val="en-US" w:eastAsia="zh-CN"/>
        </w:rPr>
        <w:t>事业运行（项）(2013150):支出决算为9.97万元，</w:t>
      </w:r>
      <w:r>
        <w:rPr>
          <w:rFonts w:hint="eastAsia" w:ascii="仿宋" w:hAnsi="仿宋" w:eastAsia="仿宋"/>
          <w:color w:val="000000"/>
          <w:sz w:val="32"/>
          <w:szCs w:val="32"/>
        </w:rPr>
        <w:t>完成预算100%。决算数与预算数持平。</w:t>
      </w:r>
    </w:p>
    <w:p>
      <w:pPr>
        <w:pStyle w:val="7"/>
        <w:ind w:firstLine="600"/>
        <w:rPr>
          <w:rFonts w:hint="eastAsia" w:ascii="仿宋" w:hAnsi="仿宋" w:eastAsia="仿宋"/>
          <w:color w:val="000000"/>
          <w:sz w:val="32"/>
          <w:szCs w:val="32"/>
        </w:rPr>
      </w:pPr>
      <w:r>
        <w:rPr>
          <w:rFonts w:hint="eastAsia" w:eastAsia="仿宋"/>
          <w:lang w:val="en-US" w:eastAsia="zh-CN"/>
        </w:rPr>
        <w:t>4.</w:t>
      </w:r>
      <w:r>
        <w:rPr>
          <w:rFonts w:hint="eastAsia" w:ascii="仿宋" w:hAnsi="仿宋" w:eastAsia="仿宋"/>
          <w:color w:val="000000"/>
          <w:sz w:val="32"/>
          <w:szCs w:val="32"/>
          <w:lang w:val="en-US" w:eastAsia="zh-CN"/>
        </w:rPr>
        <w:t>一般公共服务（类）</w:t>
      </w:r>
      <w:r>
        <w:rPr>
          <w:rFonts w:hint="eastAsia" w:ascii="仿宋" w:hAnsi="仿宋" w:eastAsia="仿宋"/>
          <w:color w:val="000000"/>
          <w:sz w:val="32"/>
          <w:szCs w:val="32"/>
        </w:rPr>
        <w:t>群众团体事务（款）</w:t>
      </w:r>
      <w:r>
        <w:rPr>
          <w:rFonts w:hint="eastAsia" w:ascii="仿宋" w:hAnsi="仿宋" w:eastAsia="仿宋"/>
          <w:color w:val="000000"/>
          <w:sz w:val="32"/>
          <w:szCs w:val="32"/>
          <w:lang w:val="en-US" w:eastAsia="zh-CN"/>
        </w:rPr>
        <w:t>其他党委办公厅（室）及相关机构事务支出（项）（2013199）</w:t>
      </w:r>
      <w:r>
        <w:rPr>
          <w:rFonts w:hint="eastAsia" w:ascii="仿宋" w:hAnsi="仿宋" w:eastAsia="仿宋"/>
          <w:color w:val="000000"/>
          <w:sz w:val="32"/>
          <w:szCs w:val="32"/>
        </w:rPr>
        <w:t>: 支出决算为</w:t>
      </w:r>
      <w:r>
        <w:rPr>
          <w:rFonts w:hint="eastAsia" w:ascii="仿宋" w:hAnsi="仿宋" w:eastAsia="仿宋"/>
          <w:color w:val="000000"/>
          <w:sz w:val="32"/>
          <w:szCs w:val="32"/>
          <w:lang w:val="en-US" w:eastAsia="zh-CN"/>
        </w:rPr>
        <w:t>59.9</w:t>
      </w:r>
      <w:r>
        <w:rPr>
          <w:rFonts w:hint="eastAsia" w:ascii="仿宋" w:hAnsi="仿宋" w:eastAsia="仿宋"/>
          <w:color w:val="000000"/>
          <w:sz w:val="32"/>
          <w:szCs w:val="32"/>
        </w:rPr>
        <w:t>万元，完成预算100%。决算数与预算数持平。</w:t>
      </w:r>
    </w:p>
    <w:p>
      <w:pPr>
        <w:pStyle w:val="7"/>
        <w:ind w:firstLine="600"/>
        <w:rPr>
          <w:rFonts w:ascii="仿宋" w:hAnsi="仿宋" w:eastAsia="仿宋"/>
          <w:bCs/>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.社会保障和就业支出（类）行政事业单位离退休（款）机关事业单位基本养老保险缴费支出（项）（2080505）：支出决算为</w:t>
      </w:r>
      <w:r>
        <w:rPr>
          <w:rFonts w:hint="eastAsia" w:ascii="仿宋" w:hAnsi="仿宋" w:eastAsia="仿宋"/>
          <w:color w:val="000000"/>
          <w:sz w:val="32"/>
          <w:szCs w:val="32"/>
          <w:lang w:val="en-US" w:eastAsia="zh-CN"/>
        </w:rPr>
        <w:t>4.21</w:t>
      </w:r>
      <w:r>
        <w:rPr>
          <w:rFonts w:hint="eastAsia" w:ascii="仿宋" w:hAnsi="仿宋" w:eastAsia="仿宋"/>
          <w:color w:val="000000"/>
          <w:sz w:val="32"/>
          <w:szCs w:val="32"/>
        </w:rPr>
        <w:t xml:space="preserve">万元，完成预算100%。决算数与预算数持平。                                    </w:t>
      </w:r>
    </w:p>
    <w:p>
      <w:pPr>
        <w:spacing w:line="578"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6.卫生健康支出（类）行政事业单位医疗（款）行政事业单位医疗（项）（210</w:t>
      </w:r>
      <w:r>
        <w:rPr>
          <w:rFonts w:hint="eastAsia" w:ascii="仿宋" w:hAnsi="仿宋" w:eastAsia="仿宋" w:cs="宋体"/>
          <w:bCs/>
          <w:kern w:val="0"/>
          <w:sz w:val="32"/>
          <w:szCs w:val="32"/>
          <w:lang w:val="en-US" w:eastAsia="zh-CN"/>
        </w:rPr>
        <w:t>1</w:t>
      </w:r>
      <w:r>
        <w:rPr>
          <w:rFonts w:hint="eastAsia" w:ascii="仿宋" w:hAnsi="仿宋" w:eastAsia="仿宋" w:cs="宋体"/>
          <w:bCs/>
          <w:kern w:val="0"/>
          <w:sz w:val="32"/>
          <w:szCs w:val="32"/>
        </w:rPr>
        <w:t>101）：支出决算为</w:t>
      </w:r>
      <w:r>
        <w:rPr>
          <w:rFonts w:hint="eastAsia" w:ascii="仿宋" w:hAnsi="仿宋" w:eastAsia="仿宋" w:cs="宋体"/>
          <w:bCs/>
          <w:kern w:val="0"/>
          <w:sz w:val="32"/>
          <w:szCs w:val="32"/>
          <w:lang w:val="en-US" w:eastAsia="zh-CN"/>
        </w:rPr>
        <w:t>1.76</w:t>
      </w:r>
      <w:r>
        <w:rPr>
          <w:rFonts w:hint="eastAsia" w:ascii="仿宋" w:hAnsi="仿宋" w:eastAsia="仿宋" w:cs="宋体"/>
          <w:bCs/>
          <w:kern w:val="0"/>
          <w:sz w:val="32"/>
          <w:szCs w:val="32"/>
        </w:rPr>
        <w:t>万元，完成预算100%。</w:t>
      </w:r>
      <w:r>
        <w:rPr>
          <w:rStyle w:val="17"/>
          <w:rFonts w:hint="eastAsia" w:ascii="仿宋" w:hAnsi="仿宋" w:eastAsia="仿宋"/>
          <w:b w:val="0"/>
          <w:bCs/>
          <w:sz w:val="32"/>
          <w:szCs w:val="32"/>
        </w:rPr>
        <w:t>决算数与预算数持平。</w:t>
      </w:r>
    </w:p>
    <w:p>
      <w:pPr>
        <w:spacing w:line="578" w:lineRule="exact"/>
        <w:ind w:firstLine="640" w:firstLineChars="200"/>
        <w:rPr>
          <w:rStyle w:val="17"/>
          <w:rFonts w:ascii="仿宋" w:hAnsi="仿宋" w:eastAsia="仿宋"/>
          <w:b w:val="0"/>
          <w:bCs/>
          <w:sz w:val="32"/>
          <w:szCs w:val="32"/>
        </w:rPr>
      </w:pPr>
      <w:r>
        <w:rPr>
          <w:rFonts w:hint="eastAsia" w:ascii="仿宋" w:hAnsi="仿宋" w:eastAsia="仿宋" w:cs="宋体"/>
          <w:bCs/>
          <w:kern w:val="0"/>
          <w:sz w:val="32"/>
          <w:szCs w:val="32"/>
        </w:rPr>
        <w:t>7.卫生健康支出（类）行政事业单位医疗（款）公务员医疗补助（项）（210</w:t>
      </w:r>
      <w:r>
        <w:rPr>
          <w:rFonts w:hint="eastAsia" w:ascii="仿宋" w:hAnsi="仿宋" w:eastAsia="仿宋" w:cs="宋体"/>
          <w:bCs/>
          <w:kern w:val="0"/>
          <w:sz w:val="32"/>
          <w:szCs w:val="32"/>
          <w:lang w:val="en-US" w:eastAsia="zh-CN"/>
        </w:rPr>
        <w:t>1</w:t>
      </w:r>
      <w:r>
        <w:rPr>
          <w:rFonts w:hint="eastAsia" w:ascii="仿宋" w:hAnsi="仿宋" w:eastAsia="仿宋" w:cs="宋体"/>
          <w:bCs/>
          <w:kern w:val="0"/>
          <w:sz w:val="32"/>
          <w:szCs w:val="32"/>
        </w:rPr>
        <w:t>103）：支出决算为</w:t>
      </w:r>
      <w:r>
        <w:rPr>
          <w:rFonts w:hint="eastAsia" w:ascii="仿宋" w:hAnsi="仿宋" w:eastAsia="仿宋" w:cs="宋体"/>
          <w:bCs/>
          <w:kern w:val="0"/>
          <w:sz w:val="32"/>
          <w:szCs w:val="32"/>
          <w:lang w:val="en-US" w:eastAsia="zh-CN"/>
        </w:rPr>
        <w:t>1.29</w:t>
      </w:r>
      <w:r>
        <w:rPr>
          <w:rFonts w:hint="eastAsia" w:ascii="仿宋" w:hAnsi="仿宋" w:eastAsia="仿宋" w:cs="宋体"/>
          <w:bCs/>
          <w:kern w:val="0"/>
          <w:sz w:val="32"/>
          <w:szCs w:val="32"/>
        </w:rPr>
        <w:t>万元，完成预算100%。</w:t>
      </w:r>
      <w:r>
        <w:rPr>
          <w:rStyle w:val="17"/>
          <w:rFonts w:hint="eastAsia" w:ascii="仿宋" w:hAnsi="仿宋" w:eastAsia="仿宋"/>
          <w:b w:val="0"/>
          <w:bCs/>
          <w:sz w:val="32"/>
          <w:szCs w:val="32"/>
        </w:rPr>
        <w:t>决算数与预算数持平。</w:t>
      </w:r>
    </w:p>
    <w:p>
      <w:pPr>
        <w:snapToGrid w:val="0"/>
        <w:spacing w:line="578" w:lineRule="exact"/>
        <w:ind w:firstLine="640" w:firstLineChars="200"/>
        <w:rPr>
          <w:rStyle w:val="17"/>
          <w:rFonts w:ascii="仿宋" w:hAnsi="仿宋" w:eastAsia="仿宋"/>
          <w:b w:val="0"/>
          <w:bCs/>
          <w:sz w:val="32"/>
          <w:szCs w:val="32"/>
        </w:rPr>
      </w:pPr>
      <w:r>
        <w:rPr>
          <w:rFonts w:hint="eastAsia" w:ascii="仿宋" w:hAnsi="仿宋" w:eastAsia="仿宋" w:cs="宋体"/>
          <w:bCs/>
          <w:kern w:val="0"/>
          <w:sz w:val="32"/>
          <w:szCs w:val="32"/>
        </w:rPr>
        <w:t>8.住房保障支出（类）住房改革支出（款）住房公积金（项）（2210201）：支出决算为</w:t>
      </w:r>
      <w:r>
        <w:rPr>
          <w:rFonts w:hint="eastAsia" w:ascii="仿宋" w:hAnsi="仿宋" w:eastAsia="仿宋" w:cs="宋体"/>
          <w:bCs/>
          <w:kern w:val="0"/>
          <w:sz w:val="32"/>
          <w:szCs w:val="32"/>
          <w:lang w:val="en-US" w:eastAsia="zh-CN"/>
        </w:rPr>
        <w:t>4.8</w:t>
      </w:r>
      <w:r>
        <w:rPr>
          <w:rFonts w:hint="eastAsia" w:ascii="仿宋" w:hAnsi="仿宋" w:eastAsia="仿宋" w:cs="宋体"/>
          <w:bCs/>
          <w:kern w:val="0"/>
          <w:sz w:val="32"/>
          <w:szCs w:val="32"/>
        </w:rPr>
        <w:t>万元，完成预算100%。</w:t>
      </w:r>
      <w:r>
        <w:rPr>
          <w:rStyle w:val="17"/>
          <w:rFonts w:hint="eastAsia" w:ascii="仿宋" w:hAnsi="仿宋" w:eastAsia="仿宋"/>
          <w:b w:val="0"/>
          <w:bCs/>
          <w:sz w:val="32"/>
          <w:szCs w:val="32"/>
        </w:rPr>
        <w:t>决算数与预算数持平。</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30"/>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34"/>
      <w:bookmarkEnd w:id="35"/>
      <w:r>
        <w:rPr>
          <w:rStyle w:val="30"/>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82.72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73.65</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9.07</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30"/>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FF0000"/>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3.06</w:t>
      </w:r>
      <w:r>
        <w:rPr>
          <w:rFonts w:hint="eastAsia" w:ascii="仿宋" w:hAnsi="仿宋" w:eastAsia="仿宋"/>
          <w:color w:val="auto"/>
          <w:sz w:val="32"/>
          <w:szCs w:val="32"/>
          <w:highlight w:val="none"/>
        </w:rPr>
        <w:t>元，完成预算</w:t>
      </w:r>
      <w:r>
        <w:rPr>
          <w:rFonts w:hint="eastAsia" w:ascii="仿宋" w:hAnsi="仿宋" w:eastAsia="仿宋"/>
          <w:color w:val="auto"/>
          <w:sz w:val="32"/>
          <w:szCs w:val="32"/>
          <w:highlight w:val="none"/>
          <w:lang w:val="en-US" w:eastAsia="zh-CN"/>
        </w:rPr>
        <w:t>76.5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减少0.94万元，下降23.5%。</w:t>
      </w:r>
      <w:r>
        <w:rPr>
          <w:rFonts w:hint="eastAsia" w:ascii="仿宋" w:hAnsi="仿宋" w:eastAsia="仿宋"/>
          <w:color w:val="auto"/>
          <w:sz w:val="32"/>
          <w:szCs w:val="32"/>
          <w:highlight w:val="none"/>
        </w:rPr>
        <w:t>决算数</w:t>
      </w:r>
      <w:r>
        <w:rPr>
          <w:rFonts w:hint="eastAsia" w:ascii="仿宋" w:hAnsi="仿宋" w:eastAsia="仿宋" w:cs="Times New Roman"/>
          <w:color w:val="auto"/>
          <w:sz w:val="32"/>
          <w:szCs w:val="32"/>
          <w:highlight w:val="none"/>
        </w:rPr>
        <w:t>小于预算数（或与预算数持平）的主要原因是</w:t>
      </w:r>
      <w:r>
        <w:rPr>
          <w:rFonts w:hint="eastAsia" w:ascii="仿宋" w:hAnsi="仿宋" w:eastAsia="仿宋" w:cs="Times New Roman"/>
          <w:color w:val="auto"/>
          <w:sz w:val="32"/>
          <w:szCs w:val="32"/>
          <w:highlight w:val="none"/>
          <w:lang w:val="en-US" w:eastAsia="zh-CN"/>
        </w:rPr>
        <w:t>公务接待费用减少</w:t>
      </w:r>
      <w:r>
        <w:rPr>
          <w:rFonts w:hint="eastAsia" w:ascii="仿宋" w:hAnsi="仿宋" w:eastAsia="仿宋" w:cs="Times New Roman"/>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3.06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tbl>
      <w:tblPr>
        <w:tblStyle w:val="15"/>
        <w:tblW w:w="9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销售额</w:t>
            </w:r>
          </w:p>
        </w:tc>
      </w:tr>
    </w:tbl>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622300</wp:posOffset>
            </wp:positionH>
            <wp:positionV relativeFrom="paragraph">
              <wp:posOffset>97155</wp:posOffset>
            </wp:positionV>
            <wp:extent cx="3633470" cy="1625600"/>
            <wp:effectExtent l="4445" t="4445" r="19685" b="1587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20年持平。主要原因是</w:t>
      </w:r>
      <w:r>
        <w:rPr>
          <w:rFonts w:hint="eastAsia" w:ascii="仿宋_GB2312" w:eastAsia="仿宋_GB2312"/>
          <w:color w:val="000000"/>
          <w:sz w:val="32"/>
          <w:szCs w:val="32"/>
        </w:rPr>
        <w:t>未发生因公出国（境）经费开支</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20年持平。主要原因是未购置公务用车。</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3.06</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76.5</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年减少。</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万元，主要用于接待</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（具体项目）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bookmarkStart w:id="40" w:name="_Toc15377218"/>
      <w:bookmarkStart w:id="41" w:name="_Toc15396610"/>
    </w:p>
    <w:p>
      <w:pPr>
        <w:spacing w:line="600" w:lineRule="exact"/>
        <w:ind w:firstLine="640"/>
        <w:outlineLvl w:val="1"/>
        <w:rPr>
          <w:rStyle w:val="30"/>
          <w:rFonts w:ascii="黑体" w:hAnsi="黑体" w:eastAsia="黑体"/>
          <w:color w:val="auto"/>
          <w:highlight w:val="none"/>
        </w:rPr>
      </w:pPr>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2"/>
        </w:numPr>
        <w:spacing w:line="600" w:lineRule="exact"/>
        <w:ind w:firstLine="640"/>
        <w:outlineLvl w:val="1"/>
        <w:rPr>
          <w:rStyle w:val="30"/>
          <w:rFonts w:ascii="黑体" w:hAnsi="黑体" w:eastAsia="黑体"/>
          <w:b w:val="0"/>
          <w:color w:val="auto"/>
          <w:highlight w:val="none"/>
        </w:rPr>
      </w:pPr>
      <w:bookmarkStart w:id="42" w:name="_Toc15396611"/>
      <w:bookmarkStart w:id="43" w:name="_Toc15377219"/>
      <w:r>
        <w:rPr>
          <w:rStyle w:val="30"/>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30"/>
          <w:rFonts w:hint="eastAsia" w:ascii="黑体" w:hAnsi="黑体" w:eastAsia="黑体"/>
          <w:b w:val="0"/>
          <w:color w:val="auto"/>
          <w:highlight w:val="none"/>
        </w:rPr>
      </w:pPr>
      <w:bookmarkStart w:id="44" w:name="_Toc15377221"/>
      <w:bookmarkStart w:id="45" w:name="_Toc15396612"/>
      <w:r>
        <w:rPr>
          <w:rStyle w:val="30"/>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sz w:val="32"/>
          <w:szCs w:val="32"/>
        </w:rPr>
        <w:t>中国共产党泸县委员会政策研究室</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9.06</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16.5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62.12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公用经费支出减少</w:t>
      </w:r>
      <w:r>
        <w:rPr>
          <w:rFonts w:hint="eastAsia" w:ascii="仿宋_GB2312" w:eastAsia="仿宋_GB2312"/>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sz w:val="32"/>
          <w:szCs w:val="32"/>
        </w:rPr>
        <w:t>中国共产党泸县直属机关工作委员会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sz w:val="32"/>
          <w:szCs w:val="32"/>
        </w:rPr>
        <w:t>中国共产党泸县直属机关工作委员会共有车辆0辆，其中：主要领导干部用车0辆、机要通信用车0辆、应急保障用车0辆、其他用车0辆，单价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numPr>
          <w:ilvl w:val="0"/>
          <w:numId w:val="3"/>
        </w:num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预算绩效管理情况</w:t>
      </w:r>
    </w:p>
    <w:p>
      <w:pPr>
        <w:numPr>
          <w:ilvl w:val="0"/>
          <w:numId w:val="0"/>
        </w:numPr>
        <w:autoSpaceDE w:val="0"/>
        <w:autoSpaceDN w:val="0"/>
        <w:adjustRightInd w:val="0"/>
        <w:spacing w:line="600" w:lineRule="exact"/>
        <w:ind w:firstLine="640" w:firstLineChars="200"/>
        <w:jc w:val="left"/>
        <w:outlineLvl w:val="2"/>
        <w:rPr>
          <w:sz w:val="32"/>
          <w:szCs w:val="32"/>
        </w:rPr>
      </w:pPr>
      <w:r>
        <w:rPr>
          <w:rFonts w:ascii="仿宋" w:hAnsi="仿宋" w:eastAsia="仿宋" w:cs="仿宋"/>
          <w:sz w:val="32"/>
          <w:szCs w:val="32"/>
        </w:rPr>
        <w:t>（一）评价结论。</w:t>
      </w:r>
      <w:r>
        <w:rPr>
          <w:rFonts w:hint="eastAsia" w:ascii="仿宋" w:hAnsi="仿宋" w:eastAsia="仿宋" w:cs="仿宋"/>
          <w:sz w:val="32"/>
          <w:szCs w:val="32"/>
        </w:rPr>
        <w:t>本次绩效评价的目的是为了全面分析和综合评价我</w:t>
      </w:r>
      <w:r>
        <w:rPr>
          <w:rFonts w:hint="eastAsia" w:ascii="仿宋" w:hAnsi="仿宋" w:eastAsia="仿宋" w:cs="仿宋"/>
          <w:sz w:val="32"/>
          <w:szCs w:val="32"/>
          <w:lang w:val="en-US" w:eastAsia="zh-CN"/>
        </w:rPr>
        <w:t>单位</w:t>
      </w:r>
      <w:r>
        <w:rPr>
          <w:rFonts w:hint="eastAsia" w:ascii="仿宋" w:hAnsi="仿宋" w:eastAsia="仿宋" w:cs="仿宋"/>
          <w:sz w:val="32"/>
          <w:szCs w:val="32"/>
        </w:rPr>
        <w:t>本级财政预算资金的使用管理情况，为切实提高财政资金使用效益，强化预算支出的责任和效率提供参考依据。通过绩效评价与系统控制，较好地完成了年初目标任务。</w:t>
      </w:r>
    </w:p>
    <w:p>
      <w:pPr>
        <w:pStyle w:val="14"/>
        <w:keepNext w:val="0"/>
        <w:keepLines w:val="0"/>
        <w:widowControl/>
        <w:suppressLineNumbers w:val="0"/>
        <w:spacing w:line="468" w:lineRule="atLeast"/>
        <w:ind w:firstLine="640" w:firstLineChars="200"/>
        <w:rPr>
          <w:sz w:val="32"/>
          <w:szCs w:val="32"/>
        </w:rPr>
      </w:pPr>
      <w:r>
        <w:rPr>
          <w:rFonts w:hint="eastAsia" w:ascii="仿宋" w:hAnsi="仿宋" w:eastAsia="仿宋" w:cs="仿宋"/>
          <w:sz w:val="32"/>
          <w:szCs w:val="32"/>
        </w:rPr>
        <w:t>（二）存在问题。 我</w:t>
      </w:r>
      <w:r>
        <w:rPr>
          <w:rFonts w:hint="eastAsia" w:ascii="仿宋" w:hAnsi="仿宋" w:eastAsia="仿宋" w:cs="仿宋"/>
          <w:sz w:val="32"/>
          <w:szCs w:val="32"/>
          <w:lang w:val="en-US" w:eastAsia="zh-CN"/>
        </w:rPr>
        <w:t>单位</w:t>
      </w:r>
      <w:r>
        <w:rPr>
          <w:rFonts w:hint="eastAsia" w:ascii="仿宋" w:hAnsi="仿宋" w:eastAsia="仿宋" w:cs="仿宋"/>
          <w:sz w:val="32"/>
          <w:szCs w:val="32"/>
        </w:rPr>
        <w:t>调整预算幅度较大，预算控制率偏高。预算编制欠科学，预算编制合理性有待提高。</w:t>
      </w:r>
    </w:p>
    <w:p>
      <w:pPr>
        <w:pStyle w:val="14"/>
        <w:keepNext w:val="0"/>
        <w:keepLines w:val="0"/>
        <w:widowControl/>
        <w:suppressLineNumbers w:val="0"/>
        <w:spacing w:line="468"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（三）改进建议。 细化预算编制工作，认真做好预算的编制。进一步加强机关内部各</w:t>
      </w:r>
      <w:r>
        <w:rPr>
          <w:rFonts w:hint="eastAsia" w:ascii="仿宋" w:hAnsi="仿宋" w:eastAsia="仿宋" w:cs="仿宋"/>
          <w:sz w:val="32"/>
          <w:szCs w:val="32"/>
          <w:lang w:val="en-US" w:eastAsia="zh-CN"/>
        </w:rPr>
        <w:t>股室</w:t>
      </w:r>
      <w:r>
        <w:rPr>
          <w:rFonts w:hint="eastAsia" w:ascii="仿宋" w:hAnsi="仿宋" w:eastAsia="仿宋" w:cs="仿宋"/>
          <w:sz w:val="32"/>
          <w:szCs w:val="32"/>
        </w:rPr>
        <w:t>的预算管理意识，严格按照预算编制的相关制度和要求进行预算编制。加强财务管理，严格财务审核。在费用报销支付时，按照预算规定的费用项目和用途资金使用审核、列报支付、财务核算，杜绝超支现象。持续抓好收三公经费控制管理，严格执行公务卡制度。</w:t>
      </w:r>
    </w:p>
    <w:p>
      <w:pPr>
        <w:pStyle w:val="14"/>
        <w:keepNext w:val="0"/>
        <w:keepLines w:val="0"/>
        <w:widowControl/>
        <w:suppressLineNumbers w:val="0"/>
        <w:spacing w:line="468" w:lineRule="atLeast"/>
        <w:rPr>
          <w:rFonts w:hint="eastAsia" w:ascii="仿宋" w:hAnsi="仿宋" w:eastAsia="仿宋" w:cs="仿宋"/>
          <w:sz w:val="32"/>
          <w:szCs w:val="32"/>
        </w:rPr>
      </w:pPr>
    </w:p>
    <w:p>
      <w:pPr>
        <w:pStyle w:val="14"/>
        <w:keepNext w:val="0"/>
        <w:keepLines w:val="0"/>
        <w:widowControl/>
        <w:suppressLineNumbers w:val="0"/>
        <w:spacing w:line="468" w:lineRule="atLeast"/>
        <w:rPr>
          <w:rFonts w:hint="eastAsia" w:ascii="仿宋" w:hAnsi="仿宋" w:eastAsia="仿宋" w:cs="仿宋"/>
          <w:sz w:val="32"/>
          <w:szCs w:val="32"/>
        </w:rPr>
      </w:pPr>
    </w:p>
    <w:p>
      <w:pPr>
        <w:widowControl/>
        <w:ind w:firstLine="643" w:firstLineChars="200"/>
        <w:jc w:val="left"/>
        <w:rPr>
          <w:rFonts w:ascii="仿宋_GB2312" w:eastAsia="仿宋_GB2312"/>
          <w:b/>
          <w:color w:val="auto"/>
          <w:sz w:val="32"/>
          <w:szCs w:val="32"/>
          <w:highlight w:val="none"/>
        </w:rPr>
      </w:pPr>
    </w:p>
    <w:p>
      <w:pPr>
        <w:numPr>
          <w:ilvl w:val="0"/>
          <w:numId w:val="4"/>
        </w:numPr>
        <w:spacing w:line="600" w:lineRule="exact"/>
        <w:ind w:firstLine="660" w:firstLineChars="150"/>
        <w:jc w:val="center"/>
        <w:outlineLvl w:val="0"/>
        <w:rPr>
          <w:rStyle w:val="29"/>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一般公共服务（类）群从团体事务（款）行政运行（项）（2013101）: 指行政单位（包括实行公务员管理的事业单位）的基本支出。</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 一般公共服务（类）群从团体事务（款）一般行政管理事务（项）（2013102）: 指行政单位（包括实行公务员管理的事业单位）未单独设置项级科目的其他项目支出。</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11.社会保障和就业支出（类）行政事业单位离退休（款）机关事业单位基本养老保险缴费支出（项）（2080505）：指机关事业单位实施养老保险制度由单位缴纳的基本养老保险支出。</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12.卫生健康支出（类）行政事业单位医疗（款）行政单位医疗（项）（2101101）：指财政部门集中安排的行政单位基本医疗保险缴费经费。</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13.卫生健康支出（类）行政事业单位医疗（款）公务员医疗补助（项）（2101103）：</w:t>
      </w:r>
      <w:r>
        <w:rPr>
          <w:rStyle w:val="18"/>
          <w:rFonts w:hint="eastAsia" w:ascii="仿宋" w:hAnsi="仿宋" w:eastAsia="仿宋" w:cs="仿宋"/>
          <w:i w:val="0"/>
          <w:color w:val="333333"/>
          <w:sz w:val="32"/>
          <w:szCs w:val="32"/>
          <w:shd w:val="clear" w:color="auto" w:fill="FFFFFF"/>
        </w:rPr>
        <w:t>指国家公务员在参加城镇职工基本医疗保险制度的基础上国家对公务员实行的医疗补助支出</w:t>
      </w:r>
      <w:r>
        <w:rPr>
          <w:rFonts w:hint="eastAsia" w:ascii="仿宋" w:hAnsi="仿宋" w:eastAsia="仿宋" w:cs="仿宋"/>
          <w:sz w:val="32"/>
          <w:szCs w:val="32"/>
        </w:rPr>
        <w:t>。</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14、住房保障支出（类）住房改革支出（款）住房公积金（项）（2210201）：指行政事业单位按人力资源和社会保障部、财政部规定的基本工资和津贴补贴以及规定比例为职工缴纳的住房公积金。</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15.基本支出：指为保障机构正常运转、完成日常工作任务而发生的人员支出和公用支出。</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16.项目支出：指在基本支出之外为完成特定行政任务和事业发展目标所发生的支出。 </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17.经营支出：指事业单位在专业业务活动及其辅助活动之外开展非独立核算经营活动发生的支出。</w:t>
      </w:r>
    </w:p>
    <w:p>
      <w:pPr>
        <w:pStyle w:val="27"/>
        <w:spacing w:line="578" w:lineRule="exact"/>
        <w:ind w:firstLine="640" w:firstLineChars="200"/>
        <w:rPr>
          <w:rFonts w:hAnsi="仿宋"/>
          <w:color w:val="auto"/>
          <w:kern w:val="2"/>
          <w:sz w:val="32"/>
          <w:szCs w:val="32"/>
        </w:rPr>
      </w:pPr>
      <w:r>
        <w:rPr>
          <w:rFonts w:hint="eastAsia" w:hAnsi="仿宋"/>
          <w:color w:val="auto"/>
          <w:kern w:val="2"/>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78" w:lineRule="exact"/>
        <w:ind w:firstLine="640" w:firstLineChars="200"/>
        <w:rPr>
          <w:rFonts w:hAnsi="仿宋"/>
          <w:color w:val="auto"/>
          <w:kern w:val="2"/>
          <w:sz w:val="32"/>
          <w:szCs w:val="32"/>
        </w:rPr>
      </w:pPr>
      <w:r>
        <w:rPr>
          <w:rFonts w:hint="eastAsia" w:hAnsi="仿宋"/>
          <w:color w:val="auto"/>
          <w:kern w:val="2"/>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9"/>
          <w:rFonts w:hint="eastAsia" w:ascii="黑体" w:hAnsi="黑体" w:eastAsia="黑体"/>
          <w:b w:val="0"/>
          <w:color w:val="FF0000"/>
          <w:highlight w:val="none"/>
          <w:lang w:eastAsia="zh-CN"/>
        </w:rPr>
      </w:pPr>
      <w:bookmarkStart w:id="51" w:name="_Toc15396614"/>
      <w:bookmarkStart w:id="52" w:name="_Toc15377226"/>
      <w:r>
        <w:rPr>
          <w:rFonts w:hint="eastAsia" w:ascii="黑体" w:hAnsi="黑体" w:eastAsia="黑体"/>
          <w:color w:val="FF0000"/>
          <w:sz w:val="44"/>
          <w:szCs w:val="44"/>
          <w:highlight w:val="none"/>
        </w:rPr>
        <w:t>第</w:t>
      </w:r>
      <w:r>
        <w:rPr>
          <w:rStyle w:val="29"/>
          <w:rFonts w:hint="eastAsia" w:ascii="黑体" w:hAnsi="黑体" w:eastAsia="黑体"/>
          <w:b w:val="0"/>
          <w:color w:val="FF0000"/>
          <w:highlight w:val="none"/>
        </w:rPr>
        <w:t>四部分 附件</w:t>
      </w:r>
      <w:bookmarkEnd w:id="51"/>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FF0000"/>
          <w:sz w:val="44"/>
          <w:szCs w:val="44"/>
          <w:highlight w:val="none"/>
        </w:rPr>
      </w:pPr>
      <w:r>
        <w:rPr>
          <w:rFonts w:hint="eastAsia" w:ascii="黑体" w:hAnsi="黑体" w:eastAsia="黑体" w:cs="黑体"/>
          <w:color w:val="FF0000"/>
          <w:sz w:val="32"/>
          <w:szCs w:val="32"/>
          <w:highlight w:val="none"/>
        </w:rPr>
        <w:t>附件</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ascii="宋体" w:hAnsi="宋体" w:eastAsia="宋体"/>
          <w:b/>
          <w:color w:val="FF0000"/>
          <w:sz w:val="32"/>
          <w:szCs w:val="32"/>
          <w:highlight w:val="none"/>
          <w:shd w:val="clear" w:color="auto" w:fill="FFFFFF"/>
        </w:rPr>
      </w:pPr>
      <w:r>
        <w:rPr>
          <w:rFonts w:hint="eastAsia" w:ascii="宋体" w:hAnsi="宋体" w:eastAsia="宋体"/>
          <w:b/>
          <w:color w:val="FF0000"/>
          <w:sz w:val="32"/>
          <w:szCs w:val="32"/>
          <w:highlight w:val="none"/>
          <w:shd w:val="clear" w:color="auto" w:fill="FFFFFF"/>
        </w:rPr>
        <w:t>20</w:t>
      </w:r>
      <w:r>
        <w:rPr>
          <w:rFonts w:hint="eastAsia" w:ascii="宋体" w:hAnsi="宋体" w:eastAsia="宋体"/>
          <w:b/>
          <w:color w:val="FF0000"/>
          <w:sz w:val="32"/>
          <w:szCs w:val="32"/>
          <w:highlight w:val="none"/>
          <w:shd w:val="clear" w:color="auto" w:fill="FFFFFF"/>
          <w:lang w:val="en-US" w:eastAsia="zh-CN"/>
        </w:rPr>
        <w:t>23</w:t>
      </w:r>
      <w:r>
        <w:rPr>
          <w:rFonts w:hint="eastAsia" w:ascii="宋体" w:hAnsi="宋体" w:eastAsia="宋体"/>
          <w:b/>
          <w:color w:val="FF0000"/>
          <w:sz w:val="32"/>
          <w:szCs w:val="32"/>
          <w:highlight w:val="none"/>
          <w:shd w:val="clear" w:color="auto" w:fill="FFFFFF"/>
        </w:rPr>
        <w:t>年</w:t>
      </w:r>
      <w:r>
        <w:rPr>
          <w:rFonts w:hint="eastAsia" w:ascii="宋体" w:hAnsi="宋体"/>
          <w:b/>
          <w:color w:val="FF0000"/>
          <w:sz w:val="32"/>
          <w:szCs w:val="32"/>
          <w:highlight w:val="none"/>
          <w:shd w:val="clear" w:color="auto" w:fill="FFFFFF"/>
          <w:lang w:val="en-US" w:eastAsia="zh-CN"/>
        </w:rPr>
        <w:t>泸县</w:t>
      </w:r>
      <w:r>
        <w:rPr>
          <w:rFonts w:hint="eastAsia" w:ascii="宋体" w:hAnsi="宋体" w:eastAsia="宋体"/>
          <w:b/>
          <w:color w:val="FF0000"/>
          <w:sz w:val="32"/>
          <w:szCs w:val="32"/>
          <w:highlight w:val="none"/>
          <w:shd w:val="clear" w:color="auto" w:fill="FFFFFF"/>
        </w:rPr>
        <w:t>部门整体绩效评价报告范本</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color w:val="FF0000"/>
          <w:sz w:val="32"/>
          <w:szCs w:val="32"/>
          <w:highlight w:val="none"/>
          <w:shd w:val="clear" w:color="auto" w:fill="FFFFFF"/>
        </w:rPr>
      </w:pPr>
      <w:r>
        <w:rPr>
          <w:rFonts w:hint="eastAsia" w:ascii="仿宋_GB2312" w:hAnsi="仿宋_GB2312" w:eastAsia="仿宋_GB2312" w:cs="仿宋_GB2312"/>
          <w:color w:val="FF0000"/>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FF0000"/>
          <w:kern w:val="0"/>
          <w:sz w:val="32"/>
          <w:szCs w:val="32"/>
          <w:highlight w:val="none"/>
          <w:shd w:val="clear" w:color="auto" w:fill="FFFFFF"/>
        </w:rPr>
      </w:pP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FF0000"/>
          <w:kern w:val="0"/>
          <w:sz w:val="32"/>
          <w:szCs w:val="32"/>
          <w:highlight w:val="none"/>
          <w:shd w:val="clear" w:color="auto" w:fill="FFFFFF"/>
          <w:lang w:val="zh-CN"/>
        </w:rPr>
      </w:pPr>
      <w:r>
        <w:rPr>
          <w:rFonts w:hint="eastAsia" w:ascii="黑体" w:hAnsi="宋体" w:eastAsia="黑体" w:cs="宋体"/>
          <w:color w:val="FF0000"/>
          <w:kern w:val="0"/>
          <w:sz w:val="32"/>
          <w:szCs w:val="32"/>
          <w:highlight w:val="none"/>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FF0000"/>
          <w:kern w:val="0"/>
          <w:sz w:val="32"/>
          <w:szCs w:val="32"/>
          <w:highlight w:val="none"/>
          <w:shd w:val="clear" w:color="auto" w:fill="FFFFFF"/>
          <w:lang w:val="zh-CN"/>
        </w:rPr>
      </w:pPr>
      <w:r>
        <w:rPr>
          <w:rFonts w:hint="eastAsia" w:ascii="楷体_GB2312" w:hAnsi="楷体_GB2312" w:eastAsia="楷体_GB2312" w:cs="楷体_GB2312"/>
          <w:b/>
          <w:bCs/>
          <w:color w:val="FF0000"/>
          <w:kern w:val="0"/>
          <w:sz w:val="32"/>
          <w:szCs w:val="32"/>
          <w:highlight w:val="none"/>
          <w:shd w:val="clear" w:color="auto" w:fill="FFFFFF"/>
          <w:lang w:val="zh-CN"/>
        </w:rPr>
        <w:t>（一）机构组成。（简要介绍）</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FF0000"/>
          <w:kern w:val="0"/>
          <w:sz w:val="32"/>
          <w:szCs w:val="32"/>
          <w:highlight w:val="none"/>
          <w:shd w:val="clear" w:color="auto" w:fill="FFFFFF"/>
          <w:lang w:val="zh-CN"/>
        </w:rPr>
      </w:pPr>
      <w:r>
        <w:rPr>
          <w:rFonts w:hint="eastAsia" w:ascii="楷体_GB2312" w:hAnsi="楷体_GB2312" w:eastAsia="楷体_GB2312" w:cs="楷体_GB2312"/>
          <w:b/>
          <w:bCs/>
          <w:color w:val="FF0000"/>
          <w:kern w:val="0"/>
          <w:sz w:val="32"/>
          <w:szCs w:val="32"/>
          <w:highlight w:val="none"/>
          <w:shd w:val="clear" w:color="auto" w:fill="FFFFFF"/>
          <w:lang w:val="zh-CN"/>
        </w:rPr>
        <w:t>（二）机构职能和人员概况。（简要介绍）</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FF0000"/>
          <w:kern w:val="0"/>
          <w:sz w:val="32"/>
          <w:szCs w:val="32"/>
          <w:highlight w:val="none"/>
          <w:shd w:val="clear" w:color="auto" w:fill="FFFFFF"/>
          <w:lang w:val="zh-CN"/>
        </w:rPr>
      </w:pPr>
      <w:r>
        <w:rPr>
          <w:rFonts w:hint="eastAsia" w:ascii="楷体_GB2312" w:hAnsi="楷体_GB2312" w:eastAsia="楷体_GB2312" w:cs="楷体_GB2312"/>
          <w:b/>
          <w:bCs/>
          <w:color w:val="FF0000"/>
          <w:kern w:val="0"/>
          <w:sz w:val="32"/>
          <w:szCs w:val="32"/>
          <w:highlight w:val="none"/>
          <w:shd w:val="clear" w:color="auto" w:fill="FFFFFF"/>
          <w:lang w:val="zh-CN"/>
        </w:rPr>
        <w:t>（三）年度主要工作任务。</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FF0000"/>
          <w:kern w:val="0"/>
          <w:sz w:val="32"/>
          <w:szCs w:val="32"/>
          <w:highlight w:val="none"/>
          <w:shd w:val="clear" w:color="auto" w:fill="FFFFFF"/>
          <w:lang w:val="zh-CN"/>
        </w:rPr>
      </w:pPr>
      <w:r>
        <w:rPr>
          <w:rFonts w:hint="eastAsia" w:ascii="楷体_GB2312" w:hAnsi="楷体_GB2312" w:eastAsia="楷体_GB2312" w:cs="楷体_GB2312"/>
          <w:b/>
          <w:bCs/>
          <w:color w:val="FF0000"/>
          <w:kern w:val="0"/>
          <w:sz w:val="32"/>
          <w:szCs w:val="32"/>
          <w:highlight w:val="none"/>
          <w:shd w:val="clear" w:color="auto" w:fill="FFFFFF"/>
          <w:lang w:val="zh-CN"/>
        </w:rPr>
        <w:t>（四）部门整体支出绩效目标。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000000" w:themeColor="text1"/>
          <w:kern w:val="0"/>
          <w:sz w:val="32"/>
          <w:szCs w:val="32"/>
          <w:highlight w:val="none"/>
          <w:shd w:val="clear" w:color="auto" w:fill="FFFFFF"/>
          <w14:textFill>
            <w14:solidFill>
              <w14:schemeClr w14:val="tx1"/>
            </w14:solidFill>
          </w14:textFill>
        </w:rPr>
      </w:pPr>
      <w:r>
        <w:rPr>
          <w:rFonts w:hint="eastAsia" w:ascii="黑体" w:hAnsi="宋体" w:eastAsia="黑体" w:cs="宋体"/>
          <w:color w:val="000000" w:themeColor="text1"/>
          <w:kern w:val="0"/>
          <w:sz w:val="32"/>
          <w:szCs w:val="32"/>
          <w:highlight w:val="none"/>
          <w:shd w:val="clear" w:color="auto" w:fill="FFFFFF"/>
          <w14:textFill>
            <w14:solidFill>
              <w14:schemeClr w14:val="tx1"/>
            </w14:solidFill>
          </w14:textFill>
        </w:rPr>
        <w:t>二、</w:t>
      </w:r>
      <w:r>
        <w:rPr>
          <w:rFonts w:hint="eastAsia" w:ascii="黑体" w:hAnsi="宋体" w:eastAsia="黑体" w:cs="宋体"/>
          <w:color w:val="000000" w:themeColor="text1"/>
          <w:kern w:val="0"/>
          <w:sz w:val="32"/>
          <w:szCs w:val="32"/>
          <w:highlight w:val="none"/>
          <w:shd w:val="clear" w:color="auto" w:fill="FFFFFF"/>
          <w:lang w:eastAsia="zh-CN"/>
          <w14:textFill>
            <w14:solidFill>
              <w14:schemeClr w14:val="tx1"/>
            </w14:solidFill>
          </w14:textFill>
        </w:rPr>
        <w:t>部门</w:t>
      </w:r>
      <w:r>
        <w:rPr>
          <w:rFonts w:hint="eastAsia" w:ascii="黑体" w:hAnsi="宋体" w:eastAsia="黑体" w:cs="宋体"/>
          <w:color w:val="000000" w:themeColor="text1"/>
          <w:kern w:val="0"/>
          <w:sz w:val="32"/>
          <w:szCs w:val="32"/>
          <w:highlight w:val="none"/>
          <w:shd w:val="clear" w:color="auto" w:fill="FFFFFF"/>
          <w14:textFill>
            <w14:solidFill>
              <w14:schemeClr w14:val="tx1"/>
            </w14:solidFill>
          </w14:textFill>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宋体" w:eastAsia="仿宋_GB2312" w:cs="宋体"/>
          <w:kern w:val="0"/>
          <w:sz w:val="32"/>
          <w:szCs w:val="32"/>
          <w:shd w:val="clear" w:color="auto" w:fill="FFFFFF"/>
          <w:lang w:val="zh-CN"/>
        </w:rPr>
        <w:t>（一）部门财政资金收入情况。</w:t>
      </w:r>
    </w:p>
    <w:p>
      <w:pPr>
        <w:widowControl/>
        <w:adjustRightInd w:val="0"/>
        <w:snapToGrid w:val="0"/>
        <w:spacing w:line="572" w:lineRule="exact"/>
        <w:ind w:firstLine="640" w:firstLineChars="200"/>
        <w:contextualSpacing/>
        <w:jc w:val="left"/>
        <w:rPr>
          <w:rFonts w:hint="eastAsia" w:ascii="仿宋" w:hAnsi="仿宋" w:eastAsia="仿宋"/>
          <w:color w:val="FF0000"/>
          <w:sz w:val="32"/>
          <w:szCs w:val="32"/>
        </w:rPr>
      </w:pPr>
      <w:r>
        <w:rPr>
          <w:rFonts w:hint="eastAsia" w:ascii="仿宋" w:hAnsi="仿宋" w:eastAsia="仿宋"/>
          <w:sz w:val="32"/>
          <w:szCs w:val="32"/>
        </w:rPr>
        <w:t>中国共产党泸县委员会政策研究室202</w:t>
      </w:r>
      <w:r>
        <w:rPr>
          <w:rFonts w:hint="eastAsia" w:ascii="仿宋" w:hAnsi="仿宋" w:eastAsia="仿宋"/>
          <w:sz w:val="32"/>
          <w:szCs w:val="32"/>
          <w:lang w:val="en-US" w:eastAsia="zh-CN"/>
        </w:rPr>
        <w:t>2</w:t>
      </w:r>
      <w:r>
        <w:rPr>
          <w:rFonts w:hint="eastAsia" w:ascii="仿宋" w:hAnsi="仿宋" w:eastAsia="仿宋"/>
          <w:sz w:val="32"/>
          <w:szCs w:val="32"/>
        </w:rPr>
        <w:t>年财政拨款收入</w:t>
      </w:r>
      <w:r>
        <w:rPr>
          <w:rFonts w:hint="eastAsia" w:ascii="仿宋" w:hAnsi="仿宋" w:eastAsia="仿宋"/>
          <w:sz w:val="32"/>
          <w:szCs w:val="32"/>
          <w:lang w:val="en-US" w:eastAsia="zh-CN"/>
        </w:rPr>
        <w:t>169.72</w:t>
      </w:r>
      <w:r>
        <w:rPr>
          <w:rFonts w:hint="eastAsia" w:ascii="仿宋" w:hAnsi="仿宋" w:eastAsia="仿宋"/>
          <w:sz w:val="32"/>
          <w:szCs w:val="32"/>
        </w:rPr>
        <w:t>万元，较202</w:t>
      </w:r>
      <w:r>
        <w:rPr>
          <w:rFonts w:hint="eastAsia" w:ascii="仿宋" w:hAnsi="仿宋" w:eastAsia="仿宋"/>
          <w:sz w:val="32"/>
          <w:szCs w:val="32"/>
          <w:lang w:val="en-US" w:eastAsia="zh-CN"/>
        </w:rPr>
        <w:t>1</w:t>
      </w:r>
      <w:r>
        <w:rPr>
          <w:rFonts w:hint="eastAsia" w:ascii="仿宋" w:hAnsi="仿宋" w:eastAsia="仿宋"/>
          <w:sz w:val="32"/>
          <w:szCs w:val="32"/>
        </w:rPr>
        <w:t>年财政拨款收入</w:t>
      </w:r>
      <w:r>
        <w:rPr>
          <w:rFonts w:hint="eastAsia" w:ascii="仿宋" w:hAnsi="仿宋" w:eastAsia="仿宋"/>
          <w:color w:val="000000" w:themeColor="text1"/>
          <w:sz w:val="32"/>
          <w:szCs w:val="32"/>
          <w:lang w:val="en-US" w:eastAsia="zh-CN"/>
          <w14:textFill>
            <w14:solidFill>
              <w14:schemeClr w14:val="tx1"/>
            </w14:solidFill>
          </w14:textFill>
        </w:rPr>
        <w:t>161.25</w:t>
      </w:r>
      <w:r>
        <w:rPr>
          <w:rFonts w:hint="eastAsia" w:ascii="仿宋" w:hAnsi="仿宋" w:eastAsia="仿宋" w:cs="宋体"/>
          <w:bCs/>
          <w:kern w:val="0"/>
          <w:sz w:val="32"/>
          <w:szCs w:val="32"/>
        </w:rPr>
        <w:t>万元增加了</w:t>
      </w:r>
      <w:r>
        <w:rPr>
          <w:rFonts w:hint="eastAsia" w:ascii="仿宋" w:hAnsi="仿宋" w:eastAsia="仿宋" w:cs="宋体"/>
          <w:bCs/>
          <w:color w:val="000000"/>
          <w:kern w:val="0"/>
          <w:sz w:val="32"/>
          <w:szCs w:val="32"/>
          <w:lang w:val="en-US" w:eastAsia="zh-CN"/>
        </w:rPr>
        <w:t>8.47</w:t>
      </w:r>
      <w:r>
        <w:rPr>
          <w:rFonts w:hint="eastAsia" w:ascii="仿宋" w:hAnsi="仿宋" w:eastAsia="仿宋" w:cs="宋体"/>
          <w:bCs/>
          <w:kern w:val="0"/>
          <w:sz w:val="32"/>
          <w:szCs w:val="32"/>
        </w:rPr>
        <w:t>万元，增加</w:t>
      </w:r>
      <w:r>
        <w:rPr>
          <w:rFonts w:hint="eastAsia" w:ascii="仿宋" w:hAnsi="仿宋" w:eastAsia="仿宋" w:cs="宋体"/>
          <w:bCs/>
          <w:kern w:val="0"/>
          <w:sz w:val="32"/>
          <w:szCs w:val="32"/>
          <w:lang w:val="en-US" w:eastAsia="zh-CN"/>
        </w:rPr>
        <w:t>5.25</w:t>
      </w:r>
      <w:r>
        <w:rPr>
          <w:rFonts w:hint="eastAsia" w:ascii="仿宋" w:hAnsi="仿宋" w:eastAsia="仿宋" w:cs="宋体"/>
          <w:bCs/>
          <w:kern w:val="0"/>
          <w:sz w:val="32"/>
          <w:szCs w:val="32"/>
        </w:rPr>
        <w:t xml:space="preserve"> %，</w:t>
      </w:r>
      <w:r>
        <w:rPr>
          <w:rFonts w:hint="eastAsia" w:ascii="仿宋" w:hAnsi="仿宋" w:eastAsia="仿宋" w:cs="宋体"/>
          <w:bCs/>
          <w:color w:val="FF0000"/>
          <w:kern w:val="0"/>
          <w:sz w:val="32"/>
          <w:szCs w:val="32"/>
        </w:rPr>
        <w:t>主要原因是</w:t>
      </w:r>
      <w:r>
        <w:rPr>
          <w:rFonts w:hint="eastAsia" w:ascii="仿宋" w:hAnsi="仿宋" w:eastAsia="仿宋"/>
          <w:color w:val="FF0000"/>
          <w:sz w:val="32"/>
          <w:szCs w:val="32"/>
        </w:rPr>
        <w:t>人员经费增加</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ind w:firstLine="640" w:firstLineChars="200"/>
        <w:rPr>
          <w:rFonts w:ascii="仿宋" w:hAnsi="仿宋" w:eastAsia="仿宋" w:cs="仿宋_GB2312"/>
          <w:color w:val="FF0000"/>
          <w:sz w:val="32"/>
          <w:szCs w:val="32"/>
        </w:rPr>
      </w:pPr>
      <w:r>
        <w:rPr>
          <w:rFonts w:hint="eastAsia" w:ascii="仿宋" w:hAnsi="仿宋" w:eastAsia="仿宋"/>
          <w:sz w:val="32"/>
          <w:szCs w:val="32"/>
        </w:rPr>
        <w:t>中国共产党泸县委员会政策研究室</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年决算支出</w:t>
      </w:r>
      <w:r>
        <w:rPr>
          <w:rFonts w:hint="eastAsia" w:ascii="仿宋" w:hAnsi="仿宋" w:eastAsia="仿宋"/>
          <w:color w:val="000000"/>
          <w:sz w:val="32"/>
          <w:szCs w:val="32"/>
          <w:lang w:val="en-US" w:eastAsia="zh-CN"/>
        </w:rPr>
        <w:t>172.23</w:t>
      </w:r>
      <w:r>
        <w:rPr>
          <w:rFonts w:hint="eastAsia" w:ascii="仿宋" w:hAnsi="仿宋" w:eastAsia="仿宋"/>
          <w:color w:val="000000"/>
          <w:sz w:val="32"/>
          <w:szCs w:val="32"/>
        </w:rPr>
        <w:t>万元，较202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年支出</w:t>
      </w:r>
      <w:r>
        <w:rPr>
          <w:rFonts w:hint="eastAsia" w:ascii="仿宋" w:hAnsi="仿宋" w:eastAsia="仿宋"/>
          <w:color w:val="000000" w:themeColor="text1"/>
          <w:sz w:val="32"/>
          <w:szCs w:val="32"/>
          <w:lang w:val="en-US" w:eastAsia="zh-CN"/>
          <w14:textFill>
            <w14:solidFill>
              <w14:schemeClr w14:val="tx1"/>
            </w14:solidFill>
          </w14:textFill>
        </w:rPr>
        <w:t>198.78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减少26.55</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减少13.36</w:t>
      </w:r>
      <w:r>
        <w:rPr>
          <w:rFonts w:hint="eastAsia" w:ascii="仿宋" w:hAnsi="仿宋" w:eastAsia="仿宋"/>
          <w:color w:val="000000"/>
          <w:sz w:val="32"/>
          <w:szCs w:val="32"/>
        </w:rPr>
        <w:t xml:space="preserve"> %，</w:t>
      </w:r>
      <w:r>
        <w:rPr>
          <w:rFonts w:hint="eastAsia" w:ascii="仿宋" w:hAnsi="仿宋" w:eastAsia="仿宋"/>
          <w:color w:val="FF0000"/>
          <w:sz w:val="32"/>
          <w:szCs w:val="32"/>
        </w:rPr>
        <w:t>主要原因是</w:t>
      </w:r>
      <w:r>
        <w:rPr>
          <w:rFonts w:hint="eastAsia" w:ascii="仿宋" w:hAnsi="仿宋" w:eastAsia="仿宋"/>
          <w:color w:val="FF0000"/>
          <w:sz w:val="32"/>
          <w:szCs w:val="32"/>
          <w:lang w:val="en-US" w:eastAsia="zh-CN"/>
        </w:rPr>
        <w:t>项目</w:t>
      </w:r>
      <w:r>
        <w:rPr>
          <w:rFonts w:hint="eastAsia" w:ascii="仿宋" w:hAnsi="仿宋" w:eastAsia="仿宋"/>
          <w:color w:val="FF0000"/>
          <w:sz w:val="32"/>
          <w:szCs w:val="32"/>
        </w:rPr>
        <w:t>经费</w:t>
      </w:r>
      <w:r>
        <w:rPr>
          <w:rFonts w:hint="eastAsia" w:ascii="仿宋" w:hAnsi="仿宋" w:eastAsia="仿宋"/>
          <w:color w:val="FF0000"/>
          <w:sz w:val="32"/>
          <w:szCs w:val="32"/>
          <w:lang w:val="en-US" w:eastAsia="zh-CN"/>
        </w:rPr>
        <w:t>减少</w:t>
      </w:r>
      <w:r>
        <w:rPr>
          <w:rFonts w:hint="eastAsia" w:ascii="仿宋_GB2312" w:hAnsi="仿宋_GB2312" w:eastAsia="仿宋_GB2312"/>
          <w:color w:val="FF0000"/>
          <w:sz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FF0000"/>
          <w:kern w:val="0"/>
          <w:sz w:val="32"/>
          <w:szCs w:val="32"/>
          <w:highlight w:val="none"/>
          <w:shd w:val="clear" w:color="auto" w:fill="FFFFFF"/>
        </w:rPr>
      </w:pPr>
      <w:r>
        <w:rPr>
          <w:rFonts w:hint="eastAsia" w:ascii="黑体" w:hAnsi="宋体" w:eastAsia="黑体" w:cs="宋体"/>
          <w:color w:val="FF0000"/>
          <w:kern w:val="0"/>
          <w:sz w:val="32"/>
          <w:szCs w:val="32"/>
          <w:highlight w:val="none"/>
          <w:shd w:val="clear" w:color="auto" w:fill="FFFFFF"/>
        </w:rPr>
        <w:t>三、</w:t>
      </w:r>
      <w:r>
        <w:rPr>
          <w:rFonts w:hint="eastAsia" w:ascii="黑体" w:hAnsi="宋体" w:eastAsia="黑体" w:cs="宋体"/>
          <w:color w:val="FF0000"/>
          <w:kern w:val="0"/>
          <w:sz w:val="32"/>
          <w:szCs w:val="32"/>
          <w:highlight w:val="none"/>
          <w:u w:val="none"/>
          <w:shd w:val="clear" w:color="auto" w:fill="FFFFFF"/>
        </w:rPr>
        <w:t>部门整体绩效</w:t>
      </w:r>
      <w:r>
        <w:rPr>
          <w:rFonts w:hint="eastAsia" w:ascii="黑体" w:hAnsi="宋体" w:eastAsia="黑体" w:cs="宋体"/>
          <w:color w:val="FF0000"/>
          <w:kern w:val="0"/>
          <w:sz w:val="32"/>
          <w:szCs w:val="32"/>
          <w:highlight w:val="none"/>
          <w:u w:val="none"/>
          <w:shd w:val="clear" w:color="auto" w:fill="FFFFFF"/>
          <w:lang w:eastAsia="zh-CN"/>
        </w:rPr>
        <w:t>分析</w:t>
      </w:r>
      <w:r>
        <w:rPr>
          <w:rFonts w:hint="eastAsia" w:ascii="黑体" w:hAnsi="宋体" w:eastAsia="黑体" w:cs="宋体"/>
          <w:color w:val="FF0000"/>
          <w:kern w:val="0"/>
          <w:sz w:val="32"/>
          <w:szCs w:val="32"/>
          <w:highlight w:val="none"/>
          <w:shd w:val="clear" w:color="auto" w:fill="FFFFFF"/>
        </w:rPr>
        <w:t>（根据适用指标体系进行调整</w:t>
      </w:r>
      <w:r>
        <w:rPr>
          <w:rFonts w:hint="eastAsia" w:ascii="黑体" w:hAnsi="宋体" w:eastAsia="黑体" w:cs="宋体"/>
          <w:color w:val="FF0000"/>
          <w:kern w:val="0"/>
          <w:sz w:val="32"/>
          <w:szCs w:val="32"/>
          <w:highlight w:val="none"/>
          <w:shd w:val="clear" w:color="auto" w:fill="FFFFFF"/>
          <w:lang w:eastAsia="zh-CN"/>
        </w:rPr>
        <w:t>，涉及到有专项资金预算项目的部门，专项资金预算项目自评报告作为本报告附件一并公开</w:t>
      </w:r>
      <w:r>
        <w:rPr>
          <w:rFonts w:hint="eastAsia" w:ascii="黑体" w:hAnsi="宋体" w:eastAsia="黑体" w:cs="宋体"/>
          <w:color w:val="FF0000"/>
          <w:kern w:val="0"/>
          <w:sz w:val="32"/>
          <w:szCs w:val="32"/>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FF0000"/>
          <w:kern w:val="0"/>
          <w:sz w:val="32"/>
          <w:szCs w:val="32"/>
          <w:highlight w:val="none"/>
          <w:shd w:val="clear" w:color="auto" w:fill="FFFFFF"/>
          <w:lang w:val="zh-CN" w:eastAsia="zh-CN"/>
        </w:rPr>
      </w:pPr>
      <w:r>
        <w:rPr>
          <w:rFonts w:hint="eastAsia" w:ascii="楷体_GB2312" w:hAnsi="楷体_GB2312" w:eastAsia="楷体_GB2312" w:cs="楷体_GB2312"/>
          <w:b/>
          <w:bCs/>
          <w:color w:val="FF0000"/>
          <w:kern w:val="0"/>
          <w:sz w:val="32"/>
          <w:szCs w:val="32"/>
          <w:highlight w:val="none"/>
          <w:shd w:val="clear" w:color="auto" w:fill="FFFFFF"/>
          <w:lang w:val="zh-CN"/>
        </w:rPr>
        <w:t>（一）部门预算项目绩效分析。</w:t>
      </w:r>
      <w:r>
        <w:rPr>
          <w:rFonts w:hint="eastAsia" w:ascii="仿宋_GB2312" w:hAnsi="仿宋_GB2312" w:eastAsia="仿宋_GB2312" w:cs="仿宋_GB2312"/>
          <w:color w:val="FF0000"/>
          <w:kern w:val="0"/>
          <w:sz w:val="32"/>
          <w:szCs w:val="32"/>
          <w:highlight w:val="none"/>
          <w:shd w:val="clear" w:color="auto" w:fill="FFFFFF"/>
          <w:lang w:val="zh-CN"/>
        </w:rPr>
        <w:t>（分段表述人员类、运</w:t>
      </w:r>
      <w:r>
        <w:rPr>
          <w:rFonts w:hint="eastAsia" w:ascii="仿宋_GB2312" w:hAnsi="仿宋_GB2312" w:eastAsia="仿宋_GB2312" w:cs="仿宋_GB2312"/>
          <w:b w:val="0"/>
          <w:bCs w:val="0"/>
          <w:color w:val="FF0000"/>
          <w:kern w:val="0"/>
          <w:sz w:val="32"/>
          <w:szCs w:val="32"/>
          <w:highlight w:val="none"/>
          <w:shd w:val="clear" w:color="auto" w:fill="FFFFFF"/>
          <w:lang w:val="zh-CN" w:eastAsia="zh-CN"/>
        </w:rPr>
        <w:t>转类、特定目标类项目绩效情况和存在问题）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FF0000"/>
          <w:kern w:val="0"/>
          <w:sz w:val="32"/>
          <w:szCs w:val="32"/>
          <w:highlight w:val="none"/>
          <w:shd w:val="clear" w:color="auto" w:fill="FFFFFF"/>
          <w:lang w:val="en-US" w:eastAsia="zh-CN"/>
        </w:rPr>
      </w:pPr>
      <w:r>
        <w:rPr>
          <w:rFonts w:hint="eastAsia" w:ascii="仿宋_GB2312" w:hAnsi="仿宋_GB2312" w:eastAsia="仿宋_GB2312" w:cs="仿宋_GB2312"/>
          <w:b w:val="0"/>
          <w:bCs w:val="0"/>
          <w:color w:val="FF0000"/>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FF0000"/>
          <w:kern w:val="0"/>
          <w:sz w:val="32"/>
          <w:szCs w:val="32"/>
          <w:highlight w:val="none"/>
          <w:shd w:val="clear" w:color="auto" w:fill="FFFFFF"/>
          <w:lang w:val="en-US" w:eastAsia="zh-CN"/>
        </w:rPr>
      </w:pPr>
      <w:r>
        <w:rPr>
          <w:rFonts w:hint="eastAsia" w:ascii="仿宋_GB2312" w:hAnsi="仿宋_GB2312" w:eastAsia="仿宋_GB2312" w:cs="仿宋_GB2312"/>
          <w:b w:val="0"/>
          <w:bCs w:val="0"/>
          <w:color w:val="FF0000"/>
          <w:kern w:val="0"/>
          <w:sz w:val="32"/>
          <w:szCs w:val="32"/>
          <w:highlight w:val="none"/>
          <w:shd w:val="clear" w:color="auto" w:fill="FFFFFF"/>
          <w:lang w:val="zh-CN" w:eastAsia="zh-CN"/>
        </w:rPr>
        <w:t>包括部门绩效目标制定、目标实现、支出控制、及时处置、执行进度、预算完成情况、资金结余率（低效无效率）和违规记录等情况。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FF0000"/>
          <w:kern w:val="0"/>
          <w:sz w:val="32"/>
          <w:szCs w:val="32"/>
          <w:highlight w:val="none"/>
          <w:shd w:val="clear" w:color="auto" w:fill="FFFFFF"/>
          <w:lang w:val="en-US" w:eastAsia="zh-CN"/>
        </w:rPr>
      </w:pPr>
      <w:r>
        <w:rPr>
          <w:rFonts w:hint="eastAsia" w:ascii="仿宋_GB2312" w:hAnsi="仿宋_GB2312" w:eastAsia="仿宋_GB2312" w:cs="仿宋_GB2312"/>
          <w:b w:val="0"/>
          <w:bCs w:val="0"/>
          <w:color w:val="FF0000"/>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FF0000"/>
          <w:kern w:val="0"/>
          <w:sz w:val="32"/>
          <w:szCs w:val="32"/>
          <w:highlight w:val="none"/>
          <w:shd w:val="clear" w:color="auto" w:fill="FFFFFF"/>
          <w:lang w:val="en-US" w:eastAsia="zh-CN"/>
        </w:rPr>
      </w:pPr>
      <w:r>
        <w:rPr>
          <w:rFonts w:hint="eastAsia" w:ascii="仿宋_GB2312" w:hAnsi="仿宋_GB2312" w:eastAsia="仿宋_GB2312" w:cs="仿宋_GB2312"/>
          <w:b w:val="0"/>
          <w:bCs w:val="0"/>
          <w:color w:val="FF0000"/>
          <w:kern w:val="0"/>
          <w:sz w:val="32"/>
          <w:szCs w:val="32"/>
          <w:highlight w:val="none"/>
          <w:shd w:val="clear" w:color="auto" w:fill="FFFFFF"/>
          <w:lang w:val="en-US" w:eastAsia="zh-CN"/>
        </w:rPr>
        <w:t>（同上）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FF0000"/>
          <w:kern w:val="0"/>
          <w:sz w:val="32"/>
          <w:szCs w:val="32"/>
          <w:highlight w:val="none"/>
          <w:shd w:val="clear" w:color="auto" w:fill="FFFFFF"/>
          <w:lang w:val="en-US" w:eastAsia="zh-CN"/>
        </w:rPr>
      </w:pPr>
      <w:r>
        <w:rPr>
          <w:rFonts w:hint="eastAsia" w:ascii="仿宋_GB2312" w:hAnsi="仿宋_GB2312" w:eastAsia="仿宋_GB2312" w:cs="仿宋_GB2312"/>
          <w:b w:val="0"/>
          <w:bCs w:val="0"/>
          <w:color w:val="FF0000"/>
          <w:kern w:val="0"/>
          <w:sz w:val="32"/>
          <w:szCs w:val="32"/>
          <w:highlight w:val="none"/>
          <w:shd w:val="clear" w:color="auto" w:fill="FFFFFF"/>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FF0000"/>
          <w:kern w:val="0"/>
          <w:sz w:val="32"/>
          <w:szCs w:val="32"/>
          <w:highlight w:val="none"/>
          <w:shd w:val="clear" w:color="auto" w:fill="FFFFFF"/>
          <w:lang w:val="en-US" w:eastAsia="zh-CN"/>
        </w:rPr>
      </w:pPr>
      <w:r>
        <w:rPr>
          <w:rFonts w:hint="eastAsia" w:ascii="仿宋_GB2312" w:hAnsi="仿宋_GB2312" w:eastAsia="仿宋_GB2312" w:cs="仿宋_GB2312"/>
          <w:b w:val="0"/>
          <w:bCs w:val="0"/>
          <w:color w:val="FF0000"/>
          <w:kern w:val="0"/>
          <w:sz w:val="32"/>
          <w:szCs w:val="32"/>
          <w:highlight w:val="none"/>
          <w:shd w:val="clear" w:color="auto" w:fill="FFFFFF"/>
          <w:lang w:val="en-US" w:eastAsia="zh-CN"/>
        </w:rPr>
        <w:t>（同上）</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FF0000"/>
          <w:kern w:val="0"/>
          <w:sz w:val="32"/>
          <w:szCs w:val="32"/>
          <w:highlight w:val="none"/>
          <w:shd w:val="clear" w:color="auto" w:fill="FFFFFF"/>
          <w:lang w:val="zh-CN"/>
        </w:rPr>
      </w:pPr>
      <w:r>
        <w:rPr>
          <w:rFonts w:hint="eastAsia" w:ascii="楷体_GB2312" w:hAnsi="楷体_GB2312" w:eastAsia="楷体_GB2312" w:cs="楷体_GB2312"/>
          <w:b/>
          <w:bCs/>
          <w:color w:val="FF0000"/>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FF0000"/>
          <w:kern w:val="0"/>
          <w:sz w:val="32"/>
          <w:szCs w:val="32"/>
          <w:highlight w:val="none"/>
          <w:shd w:val="clear" w:color="auto" w:fill="FFFFFF"/>
          <w:lang w:val="zh-CN" w:eastAsia="zh-CN"/>
        </w:rPr>
      </w:pPr>
      <w:r>
        <w:rPr>
          <w:rFonts w:hint="eastAsia" w:ascii="仿宋_GB2312" w:hAnsi="仿宋_GB2312" w:eastAsia="仿宋_GB2312" w:cs="仿宋_GB2312"/>
          <w:b w:val="0"/>
          <w:bCs w:val="0"/>
          <w:color w:val="FF0000"/>
          <w:kern w:val="0"/>
          <w:sz w:val="32"/>
          <w:szCs w:val="32"/>
          <w:highlight w:val="none"/>
          <w:shd w:val="clear" w:color="auto" w:fill="FFFFFF"/>
          <w:lang w:val="zh-CN" w:eastAsia="zh-CN"/>
        </w:rPr>
        <w:t>围绕部门整体绩效目标完成情况和部门履职情况进行绩效分析。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FF0000"/>
          <w:kern w:val="0"/>
          <w:sz w:val="32"/>
          <w:szCs w:val="32"/>
          <w:highlight w:val="none"/>
          <w:shd w:val="clear" w:color="auto" w:fill="FFFFFF"/>
          <w:lang w:val="zh-CN"/>
        </w:rPr>
      </w:pPr>
      <w:r>
        <w:rPr>
          <w:rFonts w:hint="eastAsia" w:ascii="楷体_GB2312" w:hAnsi="楷体_GB2312" w:eastAsia="楷体_GB2312" w:cs="楷体_GB2312"/>
          <w:b/>
          <w:bCs/>
          <w:color w:val="FF0000"/>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FF0000"/>
          <w:kern w:val="0"/>
          <w:sz w:val="32"/>
          <w:szCs w:val="32"/>
          <w:highlight w:val="none"/>
          <w:shd w:val="clear" w:color="auto" w:fill="FFFFFF"/>
          <w:lang w:val="zh-CN" w:eastAsia="zh-CN"/>
        </w:rPr>
      </w:pPr>
      <w:r>
        <w:rPr>
          <w:rFonts w:hint="eastAsia" w:ascii="仿宋_GB2312" w:hAnsi="仿宋_GB2312" w:eastAsia="仿宋_GB2312" w:cs="仿宋_GB2312"/>
          <w:b w:val="0"/>
          <w:bCs w:val="0"/>
          <w:color w:val="FF0000"/>
          <w:kern w:val="0"/>
          <w:sz w:val="32"/>
          <w:szCs w:val="32"/>
          <w:highlight w:val="none"/>
          <w:shd w:val="clear" w:color="auto" w:fill="FFFFFF"/>
          <w:lang w:val="zh-CN" w:eastAsia="zh-CN"/>
        </w:rPr>
        <w:t>包括内部应用、自评公开、问题整改和应用反馈等情况。</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FF0000"/>
          <w:kern w:val="0"/>
          <w:sz w:val="32"/>
          <w:szCs w:val="32"/>
          <w:highlight w:val="none"/>
          <w:shd w:val="clear" w:color="auto" w:fill="FFFFFF"/>
          <w:lang w:val="zh-CN"/>
        </w:rPr>
      </w:pPr>
      <w:r>
        <w:rPr>
          <w:rFonts w:hint="eastAsia" w:ascii="楷体_GB2312" w:hAnsi="楷体_GB2312" w:eastAsia="楷体_GB2312" w:cs="楷体_GB2312"/>
          <w:b/>
          <w:bCs/>
          <w:color w:val="FF0000"/>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FF0000"/>
          <w:kern w:val="0"/>
          <w:sz w:val="32"/>
          <w:szCs w:val="32"/>
          <w:highlight w:val="none"/>
          <w:shd w:val="clear" w:color="auto" w:fill="FFFFFF"/>
          <w:lang w:val="en-US" w:eastAsia="zh-CN"/>
        </w:rPr>
      </w:pPr>
      <w:r>
        <w:rPr>
          <w:rFonts w:hint="eastAsia" w:ascii="仿宋_GB2312" w:hAnsi="仿宋_GB2312" w:eastAsia="仿宋_GB2312" w:cs="仿宋_GB2312"/>
          <w:b w:val="0"/>
          <w:bCs w:val="0"/>
          <w:color w:val="FF0000"/>
          <w:kern w:val="0"/>
          <w:sz w:val="32"/>
          <w:szCs w:val="32"/>
          <w:highlight w:val="none"/>
          <w:shd w:val="clear" w:color="auto" w:fill="FFFFFF"/>
          <w:lang w:val="en-US" w:eastAsia="zh-CN"/>
        </w:rPr>
        <w:t>包括评价部门整体自评准确情况。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FF0000"/>
          <w:kern w:val="0"/>
          <w:sz w:val="32"/>
          <w:szCs w:val="32"/>
          <w:highlight w:val="none"/>
          <w:shd w:val="clear" w:color="auto" w:fill="FFFFFF"/>
        </w:rPr>
      </w:pPr>
      <w:r>
        <w:rPr>
          <w:rFonts w:hint="eastAsia" w:ascii="黑体" w:hAnsi="宋体" w:eastAsia="黑体" w:cs="宋体"/>
          <w:color w:val="FF0000"/>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FF0000"/>
          <w:kern w:val="0"/>
          <w:sz w:val="32"/>
          <w:szCs w:val="32"/>
          <w:highlight w:val="none"/>
          <w:shd w:val="clear" w:color="auto" w:fill="FFFFFF"/>
          <w:lang w:val="zh-CN"/>
        </w:rPr>
      </w:pPr>
      <w:r>
        <w:rPr>
          <w:rFonts w:hint="eastAsia" w:ascii="楷体_GB2312" w:hAnsi="楷体_GB2312" w:eastAsia="楷体_GB2312" w:cs="楷体_GB2312"/>
          <w:b/>
          <w:bCs/>
          <w:color w:val="FF0000"/>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FF0000"/>
          <w:kern w:val="0"/>
          <w:sz w:val="32"/>
          <w:szCs w:val="32"/>
          <w:highlight w:val="none"/>
          <w:shd w:val="clear" w:color="auto" w:fill="FFFFFF"/>
          <w:lang w:val="zh-CN"/>
        </w:rPr>
      </w:pPr>
      <w:r>
        <w:rPr>
          <w:rFonts w:hint="eastAsia" w:ascii="楷体_GB2312" w:hAnsi="楷体_GB2312" w:eastAsia="楷体_GB2312" w:cs="楷体_GB2312"/>
          <w:b/>
          <w:bCs/>
          <w:color w:val="FF0000"/>
          <w:kern w:val="0"/>
          <w:sz w:val="32"/>
          <w:szCs w:val="32"/>
          <w:highlight w:val="none"/>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FF0000"/>
          <w:kern w:val="0"/>
          <w:sz w:val="32"/>
          <w:szCs w:val="32"/>
          <w:highlight w:val="none"/>
          <w:shd w:val="clear" w:color="auto" w:fill="FFFFFF"/>
          <w:lang w:val="zh-CN"/>
        </w:rPr>
      </w:pPr>
      <w:r>
        <w:rPr>
          <w:rFonts w:hint="eastAsia" w:ascii="楷体_GB2312" w:hAnsi="楷体_GB2312" w:eastAsia="楷体_GB2312" w:cs="楷体_GB2312"/>
          <w:b/>
          <w:bCs/>
          <w:color w:val="FF0000"/>
          <w:kern w:val="0"/>
          <w:sz w:val="32"/>
          <w:szCs w:val="32"/>
          <w:highlight w:val="none"/>
          <w:shd w:val="clear" w:color="auto" w:fill="FFFFFF"/>
          <w:lang w:val="zh-CN"/>
        </w:rPr>
        <w:t>（三）改进建议。</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sz w:val="32"/>
          <w:szCs w:val="32"/>
          <w:highlight w:val="none"/>
          <w:lang w:val="zh-CN" w:eastAsia="zh-CN"/>
        </w:rPr>
      </w:pPr>
      <w:r>
        <w:rPr>
          <w:rFonts w:hint="eastAsia" w:ascii="仿宋_GB2312" w:hAnsi="仿宋_GB2312" w:eastAsia="仿宋_GB2312" w:cs="仿宋_GB2312"/>
          <w:color w:val="FF0000"/>
          <w:sz w:val="32"/>
          <w:szCs w:val="32"/>
          <w:highlight w:val="none"/>
          <w:lang w:val="zh-CN" w:eastAsia="zh-CN"/>
        </w:rPr>
        <w:t>附表：</w:t>
      </w:r>
      <w:r>
        <w:rPr>
          <w:rFonts w:hint="eastAsia" w:ascii="仿宋_GB2312" w:hAnsi="仿宋_GB2312" w:eastAsia="仿宋_GB2312" w:cs="仿宋_GB2312"/>
          <w:color w:val="FF0000"/>
          <w:sz w:val="32"/>
          <w:szCs w:val="32"/>
          <w:highlight w:val="none"/>
          <w:lang w:val="en-US" w:eastAsia="zh-CN"/>
        </w:rPr>
        <w:t>部门预算项目支出绩效自评表（2022年度）</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sz w:val="32"/>
          <w:szCs w:val="32"/>
          <w:highlight w:val="none"/>
          <w:lang w:val="zh-CN" w:eastAsia="zh-CN"/>
        </w:rPr>
      </w:pPr>
      <w:r>
        <w:rPr>
          <w:rFonts w:hint="eastAsia" w:ascii="仿宋_GB2312" w:hAnsi="仿宋_GB2312" w:eastAsia="仿宋_GB2312" w:cs="仿宋_GB2312"/>
          <w:color w:val="FF0000"/>
          <w:sz w:val="32"/>
          <w:szCs w:val="32"/>
          <w:highlight w:val="none"/>
          <w:lang w:val="en-US" w:eastAsia="zh-CN"/>
        </w:rPr>
        <w:t>（备注：按照绩效自评工作安排，各部门已在预算管理一体化系统绩效自评模块上传“部门预算项目支出绩效自评表（2022年度）”，该表格应作为附表予以公开。）</w:t>
      </w:r>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FF0000"/>
          <w:sz w:val="32"/>
          <w:szCs w:val="32"/>
          <w:highlight w:val="none"/>
          <w:lang w:val="zh-CN" w:eastAsia="zh-CN"/>
        </w:rPr>
      </w:pPr>
    </w:p>
    <w:p>
      <w:pPr>
        <w:pStyle w:val="7"/>
        <w:rPr>
          <w:rFonts w:hint="eastAsia" w:hAnsi="宋体" w:cs="宋体"/>
          <w:color w:val="FF0000"/>
          <w:kern w:val="0"/>
          <w:sz w:val="32"/>
          <w:szCs w:val="32"/>
          <w:highlight w:val="none"/>
          <w:shd w:val="clear" w:color="auto" w:fill="FFFFFF"/>
          <w:lang w:val="zh-CN"/>
        </w:rPr>
      </w:pPr>
    </w:p>
    <w:p>
      <w:pPr>
        <w:pStyle w:val="7"/>
        <w:rPr>
          <w:rFonts w:hint="eastAsia" w:eastAsia="仿宋_GB2312"/>
          <w:color w:val="FF0000"/>
          <w:sz w:val="32"/>
          <w:szCs w:val="32"/>
          <w:highlight w:val="none"/>
          <w:lang w:val="en-US" w:eastAsia="zh-CN"/>
        </w:rPr>
      </w:pPr>
      <w:r>
        <w:rPr>
          <w:rFonts w:hint="eastAsia" w:hAnsi="宋体" w:cs="宋体"/>
          <w:color w:val="FF0000"/>
          <w:kern w:val="0"/>
          <w:sz w:val="32"/>
          <w:szCs w:val="32"/>
          <w:highlight w:val="none"/>
          <w:shd w:val="clear" w:color="auto" w:fill="FFFFFF"/>
          <w:lang w:val="zh-CN"/>
        </w:rPr>
        <w:t>附件</w:t>
      </w:r>
      <w:r>
        <w:rPr>
          <w:rFonts w:hint="eastAsia" w:hAnsi="宋体" w:cs="宋体"/>
          <w:color w:val="FF0000"/>
          <w:kern w:val="0"/>
          <w:sz w:val="32"/>
          <w:szCs w:val="32"/>
          <w:highlight w:val="none"/>
          <w:shd w:val="clear" w:color="auto" w:fill="FFFFFF"/>
          <w:lang w:val="en-US" w:eastAsia="zh-CN"/>
        </w:rPr>
        <w:t>2</w:t>
      </w: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FF0000"/>
          <w:kern w:val="2"/>
          <w:sz w:val="32"/>
          <w:szCs w:val="32"/>
          <w:highlight w:val="none"/>
          <w:lang w:val="en-US" w:eastAsia="zh-CN"/>
        </w:rPr>
      </w:pPr>
      <w:r>
        <w:rPr>
          <w:rFonts w:hint="eastAsia" w:ascii="方正小标宋简体" w:hAnsi="方正小标宋简体" w:eastAsia="方正小标宋简体" w:cs="方正小标宋简体"/>
          <w:color w:val="FF0000"/>
          <w:kern w:val="2"/>
          <w:sz w:val="32"/>
          <w:szCs w:val="32"/>
          <w:highlight w:val="none"/>
          <w:lang w:val="en-US" w:eastAsia="zh-CN"/>
        </w:rPr>
        <w:t>2023年泸县专项资金预算项目绩效自评报告范本</w:t>
      </w:r>
    </w:p>
    <w:p>
      <w:pPr>
        <w:pStyle w:val="35"/>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FF0000"/>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FF0000"/>
          <w:sz w:val="32"/>
          <w:szCs w:val="32"/>
          <w:highlight w:val="none"/>
          <w:lang w:val="zh-CN"/>
        </w:rPr>
      </w:pPr>
      <w:r>
        <w:rPr>
          <w:rFonts w:hint="eastAsia" w:ascii="黑体" w:hAnsi="宋体" w:eastAsia="黑体"/>
          <w:color w:val="FF0000"/>
          <w:sz w:val="32"/>
          <w:szCs w:val="32"/>
          <w:highlight w:val="none"/>
        </w:rPr>
        <w:t>一、</w:t>
      </w:r>
      <w:r>
        <w:rPr>
          <w:rFonts w:hint="eastAsia" w:ascii="黑体" w:hAnsi="宋体" w:eastAsia="黑体"/>
          <w:color w:val="FF0000"/>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1．说明项目主管部门（单位）在该项目管理中的职能。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2．项目立项、资金申报的依据，</w:t>
      </w:r>
      <w:r>
        <w:rPr>
          <w:rFonts w:hint="eastAsia" w:ascii="仿宋_GB2312" w:hAnsi="仿宋_GB2312" w:eastAsia="仿宋_GB2312" w:cs="仿宋_GB2312"/>
          <w:color w:val="FF0000"/>
          <w:kern w:val="0"/>
          <w:sz w:val="32"/>
          <w:szCs w:val="32"/>
          <w:highlight w:val="none"/>
          <w:u w:val="none"/>
          <w:shd w:val="clear" w:color="auto" w:fill="FFFFFF"/>
          <w:lang w:val="en-US" w:eastAsia="zh-CN"/>
        </w:rPr>
        <w:t>包括但不限于</w:t>
      </w:r>
      <w:r>
        <w:rPr>
          <w:rFonts w:hint="eastAsia" w:ascii="仿宋_GB2312" w:hAnsi="仿宋_GB2312" w:cs="仿宋_GB2312"/>
          <w:color w:val="FF0000"/>
          <w:kern w:val="0"/>
          <w:sz w:val="32"/>
          <w:szCs w:val="32"/>
          <w:highlight w:val="none"/>
          <w:u w:val="none"/>
          <w:shd w:val="clear" w:color="auto" w:fill="FFFFFF"/>
          <w:lang w:val="en-US" w:eastAsia="zh-CN"/>
        </w:rPr>
        <w:t>：</w:t>
      </w:r>
      <w:r>
        <w:rPr>
          <w:rFonts w:hint="eastAsia" w:ascii="仿宋_GB2312" w:hAnsi="仿宋_GB2312" w:eastAsia="仿宋_GB2312" w:cs="仿宋_GB2312"/>
          <w:color w:val="FF0000"/>
          <w:kern w:val="0"/>
          <w:sz w:val="32"/>
          <w:szCs w:val="32"/>
          <w:highlight w:val="none"/>
          <w:u w:val="none"/>
          <w:shd w:val="clear" w:color="auto" w:fill="FFFFFF"/>
          <w:lang w:val="en-US" w:eastAsia="zh-CN"/>
        </w:rPr>
        <w:t>项目涉及</w:t>
      </w:r>
      <w:r>
        <w:rPr>
          <w:rFonts w:hint="eastAsia" w:ascii="仿宋_GB2312" w:hAnsi="仿宋_GB2312" w:cs="仿宋_GB2312"/>
          <w:color w:val="FF0000"/>
          <w:kern w:val="0"/>
          <w:sz w:val="32"/>
          <w:szCs w:val="32"/>
          <w:highlight w:val="none"/>
          <w:u w:val="none"/>
          <w:shd w:val="clear" w:color="auto" w:fill="FFFFFF"/>
          <w:lang w:val="en-US" w:eastAsia="zh-CN"/>
        </w:rPr>
        <w:t>的中省</w:t>
      </w:r>
      <w:r>
        <w:rPr>
          <w:rFonts w:hint="eastAsia" w:ascii="仿宋_GB2312" w:hAnsi="仿宋_GB2312" w:eastAsia="仿宋_GB2312" w:cs="仿宋_GB2312"/>
          <w:color w:val="FF0000"/>
          <w:kern w:val="0"/>
          <w:sz w:val="32"/>
          <w:szCs w:val="32"/>
          <w:highlight w:val="none"/>
          <w:u w:val="none"/>
          <w:shd w:val="clear" w:color="auto" w:fill="FFFFFF"/>
          <w:lang w:val="en-US" w:eastAsia="zh-CN"/>
        </w:rPr>
        <w:t>相关政策文件</w:t>
      </w:r>
      <w:r>
        <w:rPr>
          <w:rFonts w:hint="eastAsia" w:ascii="仿宋_GB2312" w:hAnsi="仿宋_GB2312" w:cs="仿宋_GB2312"/>
          <w:color w:val="FF0000"/>
          <w:kern w:val="0"/>
          <w:sz w:val="32"/>
          <w:szCs w:val="32"/>
          <w:highlight w:val="none"/>
          <w:u w:val="none"/>
          <w:shd w:val="clear" w:color="auto" w:fill="FFFFFF"/>
          <w:lang w:val="en-US" w:eastAsia="zh-CN"/>
        </w:rPr>
        <w:t>和</w:t>
      </w:r>
      <w:r>
        <w:rPr>
          <w:rFonts w:hint="eastAsia" w:ascii="仿宋_GB2312" w:hAnsi="仿宋_GB2312" w:eastAsia="仿宋_GB2312" w:cs="仿宋_GB2312"/>
          <w:color w:val="FF0000"/>
          <w:kern w:val="0"/>
          <w:sz w:val="32"/>
          <w:szCs w:val="32"/>
          <w:highlight w:val="none"/>
          <w:u w:val="none"/>
          <w:shd w:val="clear" w:color="auto" w:fill="FFFFFF"/>
          <w:lang w:val="en-US" w:eastAsia="zh-CN"/>
        </w:rPr>
        <w:t>规划</w:t>
      </w:r>
      <w:r>
        <w:rPr>
          <w:rFonts w:hint="eastAsia" w:ascii="仿宋_GB2312" w:hAnsi="仿宋_GB2312" w:cs="仿宋_GB2312"/>
          <w:color w:val="FF0000"/>
          <w:kern w:val="0"/>
          <w:sz w:val="32"/>
          <w:szCs w:val="32"/>
          <w:highlight w:val="none"/>
          <w:u w:val="none"/>
          <w:shd w:val="clear" w:color="auto" w:fill="FFFFFF"/>
          <w:lang w:val="en-US" w:eastAsia="zh-CN"/>
        </w:rPr>
        <w:t>、</w:t>
      </w:r>
      <w:r>
        <w:rPr>
          <w:rFonts w:hint="eastAsia" w:ascii="仿宋_GB2312" w:hAnsi="仿宋_GB2312" w:eastAsia="仿宋_GB2312" w:cs="仿宋_GB2312"/>
          <w:color w:val="FF0000"/>
          <w:kern w:val="0"/>
          <w:sz w:val="32"/>
          <w:szCs w:val="32"/>
          <w:highlight w:val="none"/>
          <w:u w:val="none"/>
          <w:shd w:val="clear" w:color="auto" w:fill="FFFFFF"/>
          <w:lang w:val="en-US" w:eastAsia="zh-CN"/>
        </w:rPr>
        <w:t>项目设立论证资料</w:t>
      </w:r>
      <w:r>
        <w:rPr>
          <w:rFonts w:hint="eastAsia" w:ascii="仿宋_GB2312" w:hAnsi="仿宋_GB2312" w:cs="仿宋_GB2312"/>
          <w:color w:val="FF0000"/>
          <w:kern w:val="0"/>
          <w:sz w:val="32"/>
          <w:szCs w:val="32"/>
          <w:highlight w:val="none"/>
          <w:u w:val="none"/>
          <w:shd w:val="clear" w:color="auto" w:fill="FFFFFF"/>
          <w:lang w:val="en-US" w:eastAsia="zh-CN"/>
        </w:rPr>
        <w:t>、</w:t>
      </w:r>
      <w:r>
        <w:rPr>
          <w:rFonts w:hint="eastAsia" w:ascii="仿宋_GB2312" w:hAnsi="仿宋_GB2312" w:eastAsia="仿宋_GB2312" w:cs="仿宋_GB2312"/>
          <w:color w:val="FF0000"/>
          <w:kern w:val="0"/>
          <w:sz w:val="32"/>
          <w:szCs w:val="32"/>
          <w:highlight w:val="none"/>
          <w:u w:val="none"/>
          <w:shd w:val="clear" w:color="auto" w:fill="FFFFFF"/>
          <w:lang w:val="en-US" w:eastAsia="zh-CN"/>
        </w:rPr>
        <w:t>资金安排相关文件</w:t>
      </w:r>
      <w:r>
        <w:rPr>
          <w:rFonts w:hint="eastAsia" w:ascii="仿宋_GB2312" w:hAnsi="仿宋_GB2312" w:cs="仿宋_GB2312"/>
          <w:color w:val="FF0000"/>
          <w:kern w:val="0"/>
          <w:sz w:val="32"/>
          <w:szCs w:val="32"/>
          <w:highlight w:val="none"/>
          <w:u w:val="none"/>
          <w:shd w:val="clear" w:color="auto" w:fill="FFFFFF"/>
          <w:lang w:val="en-US" w:eastAsia="zh-CN"/>
        </w:rPr>
        <w:t>等</w:t>
      </w:r>
      <w:r>
        <w:rPr>
          <w:rFonts w:hint="eastAsia" w:ascii="仿宋_GB2312" w:hAnsi="仿宋_GB2312" w:eastAsia="仿宋_GB2312" w:cs="仿宋_GB2312"/>
          <w:color w:val="FF0000"/>
          <w:kern w:val="0"/>
          <w:sz w:val="32"/>
          <w:szCs w:val="32"/>
          <w:highlight w:val="none"/>
          <w:u w:val="none"/>
          <w:shd w:val="clear" w:color="auto" w:fill="FFFFFF"/>
          <w:lang w:val="en-US" w:eastAsia="zh-CN"/>
        </w:rPr>
        <w:t>。附相关文件资料</w:t>
      </w:r>
      <w:r>
        <w:rPr>
          <w:rFonts w:hint="eastAsia" w:ascii="仿宋_GB2312" w:hAnsi="仿宋_GB2312" w:eastAsia="仿宋_GB2312" w:cs="仿宋_GB2312"/>
          <w:color w:val="FF0000"/>
          <w:kern w:val="0"/>
          <w:sz w:val="32"/>
          <w:szCs w:val="32"/>
          <w:highlight w:val="none"/>
          <w:u w:val="none"/>
          <w:shd w:val="clear" w:color="auto" w:fill="FFFFFF"/>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3．资金</w:t>
      </w:r>
      <w:r>
        <w:rPr>
          <w:rFonts w:hint="eastAsia" w:ascii="仿宋_GB2312" w:hAnsi="仿宋_GB2312" w:eastAsia="仿宋_GB2312" w:cs="仿宋_GB2312"/>
          <w:color w:val="FF0000"/>
          <w:kern w:val="0"/>
          <w:sz w:val="32"/>
          <w:szCs w:val="32"/>
          <w:highlight w:val="none"/>
          <w:u w:val="none"/>
          <w:shd w:val="clear" w:color="auto" w:fill="FFFFFF"/>
          <w:lang w:val="en-US" w:eastAsia="zh-CN"/>
        </w:rPr>
        <w:t>或项目</w:t>
      </w:r>
      <w:r>
        <w:rPr>
          <w:rFonts w:hint="eastAsia" w:ascii="仿宋_GB2312" w:hAnsi="仿宋_GB2312" w:eastAsia="仿宋_GB2312" w:cs="仿宋_GB2312"/>
          <w:color w:val="FF0000"/>
          <w:kern w:val="0"/>
          <w:sz w:val="32"/>
          <w:szCs w:val="32"/>
          <w:highlight w:val="none"/>
          <w:u w:val="none"/>
          <w:shd w:val="clear" w:color="auto" w:fill="FFFFFF"/>
          <w:lang w:val="zh-CN"/>
        </w:rPr>
        <w:t>管理办法制定情况，资金支持具体项目的条件、范围与支持方式概况。</w:t>
      </w:r>
      <w:r>
        <w:rPr>
          <w:rFonts w:hint="eastAsia" w:ascii="仿宋_GB2312" w:hAnsi="仿宋_GB2312" w:eastAsia="仿宋_GB2312" w:cs="仿宋_GB2312"/>
          <w:color w:val="FF0000"/>
          <w:kern w:val="0"/>
          <w:sz w:val="32"/>
          <w:szCs w:val="32"/>
          <w:highlight w:val="none"/>
          <w:u w:val="none"/>
          <w:shd w:val="clear" w:color="auto" w:fill="FFFFFF"/>
          <w:lang w:val="en-US" w:eastAsia="zh-CN"/>
        </w:rPr>
        <w:t>附资金或项目管理办法。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4．资金分配的原则及考虑因素。</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1．项目主要内容。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2．项目应实现的具体绩效目标，</w:t>
      </w:r>
      <w:r>
        <w:rPr>
          <w:rFonts w:hint="eastAsia" w:ascii="仿宋_GB2312" w:hAnsi="仿宋_GB2312" w:eastAsia="仿宋_GB2312" w:cs="仿宋_GB2312"/>
          <w:color w:val="FF0000"/>
          <w:kern w:val="0"/>
          <w:sz w:val="32"/>
          <w:szCs w:val="32"/>
          <w:highlight w:val="none"/>
          <w:u w:val="none"/>
          <w:shd w:val="clear" w:color="auto" w:fill="FFFFFF"/>
          <w:lang w:val="en-US" w:eastAsia="zh-CN"/>
        </w:rPr>
        <w:t>包括但不限于</w:t>
      </w:r>
      <w:r>
        <w:rPr>
          <w:rFonts w:hint="eastAsia" w:ascii="仿宋_GB2312" w:hAnsi="仿宋_GB2312" w:cs="仿宋_GB2312"/>
          <w:color w:val="FF0000"/>
          <w:kern w:val="0"/>
          <w:sz w:val="32"/>
          <w:szCs w:val="32"/>
          <w:highlight w:val="none"/>
          <w:u w:val="none"/>
          <w:shd w:val="clear" w:color="auto" w:fill="FFFFFF"/>
          <w:lang w:val="en-US" w:eastAsia="zh-CN"/>
        </w:rPr>
        <w:t>：绩效</w:t>
      </w:r>
      <w:r>
        <w:rPr>
          <w:rFonts w:hint="eastAsia" w:ascii="仿宋_GB2312" w:hAnsi="仿宋_GB2312" w:eastAsia="仿宋_GB2312" w:cs="仿宋_GB2312"/>
          <w:color w:val="FF0000"/>
          <w:kern w:val="0"/>
          <w:sz w:val="32"/>
          <w:szCs w:val="32"/>
          <w:highlight w:val="none"/>
          <w:u w:val="none"/>
          <w:shd w:val="clear" w:color="auto" w:fill="FFFFFF"/>
          <w:lang w:val="zh-CN"/>
        </w:rPr>
        <w:t>目标的量化细化情况</w:t>
      </w:r>
      <w:r>
        <w:rPr>
          <w:rFonts w:hint="eastAsia" w:ascii="仿宋_GB2312" w:hAnsi="仿宋_GB2312" w:cs="仿宋_GB2312"/>
          <w:color w:val="FF0000"/>
          <w:kern w:val="0"/>
          <w:sz w:val="32"/>
          <w:szCs w:val="32"/>
          <w:highlight w:val="none"/>
          <w:u w:val="none"/>
          <w:shd w:val="clear" w:color="auto" w:fill="FFFFFF"/>
          <w:lang w:val="zh-CN"/>
        </w:rPr>
        <w:t>、</w:t>
      </w:r>
      <w:r>
        <w:rPr>
          <w:rFonts w:hint="eastAsia" w:ascii="仿宋_GB2312" w:hAnsi="仿宋_GB2312" w:eastAsia="仿宋_GB2312" w:cs="仿宋_GB2312"/>
          <w:color w:val="FF0000"/>
          <w:kern w:val="0"/>
          <w:sz w:val="32"/>
          <w:szCs w:val="32"/>
          <w:highlight w:val="none"/>
          <w:u w:val="none"/>
          <w:shd w:val="clear" w:color="auto" w:fill="FFFFFF"/>
          <w:lang w:val="zh-CN"/>
        </w:rPr>
        <w:t>项目实施进度计划等。</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3．分析评价申报内容是否与实际相符，申报目标是否合理可行。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（三）项目自评步骤及方法。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说明项目绩效自评采用的组织实施步骤及方法。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FF0000"/>
          <w:sz w:val="32"/>
          <w:szCs w:val="32"/>
          <w:highlight w:val="none"/>
          <w:u w:val="none"/>
        </w:rPr>
      </w:pPr>
      <w:r>
        <w:rPr>
          <w:rFonts w:hint="eastAsia" w:ascii="黑体" w:hAnsi="宋体" w:eastAsia="黑体"/>
          <w:color w:val="FF0000"/>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说明项目资金申报、批复及预算调整等程序的相关情况。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（二）资金计划、到位及使用情况（可用表格形式反映）。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1．资金计划。在说明该项目全省资金计划的基础上，分项目大类或市（州）分别说明各类资金计划情况，包括中央、省、市（州）、县（市、区）财政资金</w:t>
      </w:r>
      <w:r>
        <w:rPr>
          <w:rFonts w:hint="eastAsia" w:ascii="仿宋_GB2312" w:hAnsi="仿宋_GB2312" w:cs="仿宋_GB2312"/>
          <w:color w:val="FF0000"/>
          <w:kern w:val="0"/>
          <w:sz w:val="32"/>
          <w:szCs w:val="32"/>
          <w:highlight w:val="none"/>
          <w:u w:val="none"/>
          <w:shd w:val="clear" w:color="auto" w:fill="FFFFFF"/>
          <w:lang w:val="zh-CN"/>
        </w:rPr>
        <w:t>，</w:t>
      </w:r>
      <w:r>
        <w:rPr>
          <w:rFonts w:hint="eastAsia" w:ascii="仿宋_GB2312" w:hAnsi="仿宋_GB2312" w:eastAsia="仿宋_GB2312" w:cs="仿宋_GB2312"/>
          <w:color w:val="FF0000"/>
          <w:kern w:val="0"/>
          <w:sz w:val="32"/>
          <w:szCs w:val="32"/>
          <w:highlight w:val="none"/>
          <w:u w:val="none"/>
          <w:shd w:val="clear" w:color="auto" w:fill="FFFFFF"/>
          <w:lang w:val="zh-CN"/>
        </w:rPr>
        <w:t>项目单位自筹</w:t>
      </w:r>
      <w:r>
        <w:rPr>
          <w:rFonts w:hint="eastAsia" w:ascii="仿宋_GB2312" w:hAnsi="仿宋_GB2312" w:cs="仿宋_GB2312"/>
          <w:color w:val="FF0000"/>
          <w:kern w:val="0"/>
          <w:sz w:val="32"/>
          <w:szCs w:val="32"/>
          <w:highlight w:val="none"/>
          <w:u w:val="none"/>
          <w:shd w:val="clear" w:color="auto" w:fill="FFFFFF"/>
          <w:lang w:val="zh-CN"/>
        </w:rPr>
        <w:t>，</w:t>
      </w:r>
      <w:r>
        <w:rPr>
          <w:rFonts w:hint="eastAsia" w:ascii="仿宋_GB2312" w:hAnsi="仿宋_GB2312" w:eastAsia="仿宋_GB2312" w:cs="仿宋_GB2312"/>
          <w:color w:val="FF0000"/>
          <w:kern w:val="0"/>
          <w:sz w:val="32"/>
          <w:szCs w:val="32"/>
          <w:highlight w:val="none"/>
          <w:u w:val="none"/>
          <w:shd w:val="clear" w:color="auto" w:fill="FFFFFF"/>
          <w:lang w:val="zh-CN"/>
        </w:rPr>
        <w:t>其他渠道资金（包括银行贷款及其他资金等）。</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2．资金到位。汇总统计截止评价时点该项目全省资金到位情况。在此基础上分项目大类或市（州）分别统计各类资金到位情况，包括中央、省、市（州）、县（市、区）财政资金</w:t>
      </w:r>
      <w:r>
        <w:rPr>
          <w:rFonts w:hint="eastAsia" w:ascii="仿宋_GB2312" w:hAnsi="仿宋_GB2312" w:cs="仿宋_GB2312"/>
          <w:color w:val="FF0000"/>
          <w:kern w:val="0"/>
          <w:sz w:val="32"/>
          <w:szCs w:val="32"/>
          <w:highlight w:val="none"/>
          <w:u w:val="none"/>
          <w:shd w:val="clear" w:color="auto" w:fill="FFFFFF"/>
          <w:lang w:val="zh-CN"/>
        </w:rPr>
        <w:t>，</w:t>
      </w:r>
      <w:r>
        <w:rPr>
          <w:rFonts w:hint="eastAsia" w:ascii="仿宋_GB2312" w:hAnsi="仿宋_GB2312" w:eastAsia="仿宋_GB2312" w:cs="仿宋_GB2312"/>
          <w:color w:val="FF0000"/>
          <w:kern w:val="0"/>
          <w:sz w:val="32"/>
          <w:szCs w:val="32"/>
          <w:highlight w:val="none"/>
          <w:u w:val="none"/>
          <w:shd w:val="clear" w:color="auto" w:fill="FFFFFF"/>
          <w:lang w:val="zh-CN"/>
        </w:rPr>
        <w:t>项目单位自筹及其他渠道资金（包括银行贷款及其他资金等）。将资金到位情况与资金计划进行比对，并重点围绕资金到位率、到位及时性等进行评价，对未到位或到位不及时的情况作出分析说明。</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3．资金使用。汇总统计截止评价时点该项目全省资金支出情况。在此基础上分项目大类或市（州）</w:t>
      </w:r>
      <w:r>
        <w:rPr>
          <w:rFonts w:hint="eastAsia" w:ascii="仿宋_GB2312" w:hAnsi="仿宋_GB2312" w:cs="仿宋_GB2312"/>
          <w:color w:val="FF0000"/>
          <w:kern w:val="0"/>
          <w:sz w:val="32"/>
          <w:szCs w:val="32"/>
          <w:highlight w:val="none"/>
          <w:u w:val="none"/>
          <w:shd w:val="clear" w:color="auto" w:fill="FFFFFF"/>
          <w:lang w:val="zh-CN"/>
        </w:rPr>
        <w:t>分别</w:t>
      </w:r>
      <w:r>
        <w:rPr>
          <w:rFonts w:hint="eastAsia" w:ascii="仿宋_GB2312" w:hAnsi="仿宋_GB2312" w:eastAsia="仿宋_GB2312" w:cs="仿宋_GB2312"/>
          <w:color w:val="FF0000"/>
          <w:kern w:val="0"/>
          <w:sz w:val="32"/>
          <w:szCs w:val="32"/>
          <w:highlight w:val="none"/>
          <w:u w:val="none"/>
          <w:shd w:val="clear" w:color="auto" w:fill="FFFFFF"/>
          <w:lang w:val="zh-CN"/>
        </w:rPr>
        <w:t>统计资金支出情况，并对资金使用的安全性、规范性</w:t>
      </w:r>
      <w:r>
        <w:rPr>
          <w:rFonts w:hint="eastAsia" w:ascii="仿宋_GB2312" w:hAnsi="仿宋_GB2312" w:cs="仿宋_GB2312"/>
          <w:color w:val="FF0000"/>
          <w:kern w:val="0"/>
          <w:sz w:val="32"/>
          <w:szCs w:val="32"/>
          <w:highlight w:val="none"/>
          <w:u w:val="none"/>
          <w:shd w:val="clear" w:color="auto" w:fill="FFFFFF"/>
          <w:lang w:val="zh-CN"/>
        </w:rPr>
        <w:t>、</w:t>
      </w:r>
      <w:r>
        <w:rPr>
          <w:rFonts w:hint="eastAsia" w:ascii="仿宋_GB2312" w:hAnsi="仿宋_GB2312" w:eastAsia="仿宋_GB2312" w:cs="仿宋_GB2312"/>
          <w:color w:val="FF0000"/>
          <w:kern w:val="0"/>
          <w:sz w:val="32"/>
          <w:szCs w:val="32"/>
          <w:highlight w:val="none"/>
          <w:u w:val="none"/>
          <w:shd w:val="clear" w:color="auto" w:fill="FFFFFF"/>
          <w:lang w:val="zh-CN"/>
        </w:rPr>
        <w:t>有效性进行重点分析，包括资金支付范围、支付标准、支付进度、支付依据等是否合规合法、是否与预算相符，并对自评中发现的相关问题进行分析说明。</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总体评价各项目实施单位财务管理制度是否健全，是否严格执行财务管理制度，账务处理是否及时，会计核算是否规范等。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FF0000"/>
          <w:sz w:val="32"/>
          <w:szCs w:val="32"/>
          <w:highlight w:val="none"/>
          <w:u w:val="none"/>
        </w:rPr>
      </w:pPr>
      <w:r>
        <w:rPr>
          <w:rFonts w:hint="eastAsia" w:ascii="黑体" w:hAnsi="宋体" w:eastAsia="黑体"/>
          <w:color w:val="FF0000"/>
          <w:sz w:val="32"/>
          <w:szCs w:val="32"/>
          <w:highlight w:val="none"/>
          <w:u w:val="none"/>
        </w:rPr>
        <w:t>三、项目实施及管理情况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楷体_GB2312" w:hAnsi="宋体" w:eastAsia="楷体_GB2312"/>
          <w:b/>
          <w:color w:val="FF0000"/>
          <w:sz w:val="32"/>
          <w:szCs w:val="32"/>
          <w:highlight w:val="none"/>
          <w:u w:val="none"/>
          <w:lang w:val="zh-CN"/>
        </w:rPr>
        <w:t>（二）项目管理情况。</w:t>
      </w:r>
      <w:r>
        <w:rPr>
          <w:rFonts w:hint="eastAsia" w:ascii="仿宋_GB2312" w:hAnsi="仿宋_GB2312" w:eastAsia="仿宋_GB2312" w:cs="仿宋_GB2312"/>
          <w:color w:val="FF0000"/>
          <w:kern w:val="0"/>
          <w:sz w:val="32"/>
          <w:szCs w:val="32"/>
          <w:highlight w:val="none"/>
          <w:u w:val="none"/>
          <w:shd w:val="clear" w:color="auto" w:fill="FFFFFF"/>
          <w:lang w:val="zh-CN"/>
        </w:rPr>
        <w:t>结合项目特点，总体评价各项目实施单位执行相关法律法规</w:t>
      </w:r>
      <w:r>
        <w:rPr>
          <w:rFonts w:hint="eastAsia" w:ascii="仿宋_GB2312" w:hAnsi="仿宋_GB2312" w:cs="仿宋_GB2312"/>
          <w:color w:val="FF0000"/>
          <w:kern w:val="0"/>
          <w:sz w:val="32"/>
          <w:szCs w:val="32"/>
          <w:highlight w:val="none"/>
          <w:u w:val="none"/>
          <w:shd w:val="clear" w:color="auto" w:fill="FFFFFF"/>
          <w:lang w:val="zh-CN"/>
        </w:rPr>
        <w:t>、</w:t>
      </w:r>
      <w:r>
        <w:rPr>
          <w:rFonts w:hint="eastAsia" w:ascii="仿宋_GB2312" w:hAnsi="仿宋_GB2312" w:eastAsia="仿宋_GB2312" w:cs="仿宋_GB2312"/>
          <w:color w:val="FF0000"/>
          <w:kern w:val="0"/>
          <w:sz w:val="32"/>
          <w:szCs w:val="32"/>
          <w:highlight w:val="none"/>
          <w:u w:val="none"/>
          <w:shd w:val="clear" w:color="auto" w:fill="FFFFFF"/>
          <w:lang w:val="zh-CN"/>
        </w:rPr>
        <w:t>项目管理制度等情况，如招投标、政府采购、项目公示制等相关规定。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楷体_GB2312" w:hAnsi="宋体" w:eastAsia="楷体_GB2312"/>
          <w:b/>
          <w:color w:val="FF0000"/>
          <w:sz w:val="32"/>
          <w:szCs w:val="32"/>
          <w:highlight w:val="none"/>
          <w:u w:val="none"/>
          <w:lang w:val="zh-CN"/>
        </w:rPr>
        <w:t>（三）项目监管情况。</w:t>
      </w:r>
      <w:r>
        <w:rPr>
          <w:rFonts w:hint="eastAsia" w:ascii="仿宋_GB2312" w:hAnsi="仿宋_GB2312" w:eastAsia="仿宋_GB2312" w:cs="仿宋_GB2312"/>
          <w:color w:val="FF0000"/>
          <w:kern w:val="0"/>
          <w:sz w:val="32"/>
          <w:szCs w:val="32"/>
          <w:highlight w:val="none"/>
          <w:u w:val="none"/>
          <w:shd w:val="clear" w:color="auto" w:fill="FFFFFF"/>
          <w:lang w:val="zh-CN"/>
        </w:rPr>
        <w:t>说明项目主管部门为加强项目管理所采取的监管手段、监管程序、监管工作开展情况及实现的效果等。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FF0000"/>
          <w:sz w:val="32"/>
          <w:szCs w:val="32"/>
          <w:highlight w:val="none"/>
          <w:u w:val="none"/>
          <w:lang w:val="zh-CN"/>
        </w:rPr>
      </w:pPr>
      <w:r>
        <w:rPr>
          <w:rFonts w:hint="eastAsia" w:ascii="黑体" w:hAnsi="宋体" w:eastAsia="黑体"/>
          <w:color w:val="FF0000"/>
          <w:sz w:val="32"/>
          <w:szCs w:val="32"/>
          <w:highlight w:val="none"/>
          <w:u w:val="none"/>
        </w:rPr>
        <w:t>四、项目绩效情况</w:t>
      </w:r>
      <w:r>
        <w:rPr>
          <w:rFonts w:hint="eastAsia" w:ascii="仿宋_GB2312" w:hAnsi="宋体"/>
          <w:color w:val="FF0000"/>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（一）项目完成情况。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en-US" w:eastAsia="zh-CN"/>
        </w:rPr>
        <w:t>分项目类别对应项目安排时确定的绩效目标完成情况</w:t>
      </w:r>
      <w:r>
        <w:rPr>
          <w:rFonts w:hint="eastAsia" w:ascii="仿宋_GB2312" w:hAnsi="仿宋_GB2312" w:cs="仿宋_GB2312"/>
          <w:color w:val="FF0000"/>
          <w:kern w:val="0"/>
          <w:sz w:val="32"/>
          <w:szCs w:val="32"/>
          <w:highlight w:val="none"/>
          <w:u w:val="none"/>
          <w:shd w:val="clear" w:color="auto" w:fill="FFFFFF"/>
          <w:lang w:val="en-US" w:eastAsia="zh-CN"/>
        </w:rPr>
        <w:t>进行</w:t>
      </w:r>
      <w:r>
        <w:rPr>
          <w:rFonts w:hint="eastAsia" w:ascii="仿宋_GB2312" w:hAnsi="仿宋_GB2312" w:eastAsia="仿宋_GB2312" w:cs="仿宋_GB2312"/>
          <w:color w:val="FF0000"/>
          <w:kern w:val="0"/>
          <w:sz w:val="32"/>
          <w:szCs w:val="32"/>
          <w:highlight w:val="none"/>
          <w:u w:val="none"/>
          <w:shd w:val="clear" w:color="auto" w:fill="FFFFFF"/>
          <w:lang w:val="en-US" w:eastAsia="zh-CN"/>
        </w:rPr>
        <w:t>分析，</w:t>
      </w:r>
      <w:r>
        <w:rPr>
          <w:rFonts w:hint="eastAsia" w:ascii="仿宋_GB2312" w:hAnsi="仿宋_GB2312" w:eastAsia="仿宋_GB2312" w:cs="仿宋_GB2312"/>
          <w:color w:val="FF0000"/>
          <w:kern w:val="0"/>
          <w:sz w:val="32"/>
          <w:szCs w:val="32"/>
          <w:highlight w:val="none"/>
          <w:u w:val="none"/>
          <w:shd w:val="clear" w:color="auto" w:fill="FFFFFF"/>
          <w:lang w:val="zh-CN"/>
        </w:rPr>
        <w:t>包括项目完成数量、质量、时效、成本等情况，资金结余情况，违规记录等，对照项目计划完成目标对截止评价时点的任务量完成、质量标准、进度计划、成本控制目标的实现程度进行评价，并进行分析说明。</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en-US" w:eastAsia="zh-CN"/>
        </w:rPr>
        <w:t>分项目类别</w:t>
      </w:r>
      <w:r>
        <w:rPr>
          <w:rFonts w:hint="eastAsia" w:ascii="仿宋_GB2312" w:hAnsi="仿宋_GB2312" w:eastAsia="仿宋_GB2312" w:cs="仿宋_GB2312"/>
          <w:color w:val="FF0000"/>
          <w:kern w:val="0"/>
          <w:sz w:val="32"/>
          <w:szCs w:val="32"/>
          <w:highlight w:val="none"/>
          <w:u w:val="none"/>
          <w:shd w:val="clear" w:color="auto" w:fill="FFFFFF"/>
          <w:lang w:val="zh-CN"/>
        </w:rPr>
        <w:t>从项目经济效益、社会效益、生态效益、可持续效益以及服务对象满意度等方面对项目效益进行全面分析评价。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FF0000"/>
          <w:sz w:val="32"/>
          <w:szCs w:val="32"/>
          <w:highlight w:val="none"/>
          <w:u w:val="none"/>
        </w:rPr>
      </w:pPr>
      <w:r>
        <w:rPr>
          <w:rFonts w:hint="eastAsia" w:ascii="黑体" w:hAnsi="宋体" w:eastAsia="黑体"/>
          <w:color w:val="FF0000"/>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（一）评价结论。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FF0000"/>
          <w:kern w:val="0"/>
          <w:sz w:val="32"/>
          <w:szCs w:val="32"/>
          <w:highlight w:val="none"/>
          <w:u w:val="none"/>
          <w:shd w:val="clear" w:color="auto" w:fill="FFFFFF"/>
          <w:lang w:val="zh-CN"/>
        </w:rPr>
      </w:pPr>
      <w:r>
        <w:rPr>
          <w:rFonts w:hint="eastAsia" w:ascii="仿宋_GB2312" w:hAnsi="仿宋_GB2312" w:eastAsia="仿宋_GB2312" w:cs="仿宋_GB2312"/>
          <w:color w:val="FF0000"/>
          <w:kern w:val="0"/>
          <w:sz w:val="32"/>
          <w:szCs w:val="32"/>
          <w:highlight w:val="none"/>
          <w:u w:val="none"/>
          <w:shd w:val="clear" w:color="auto" w:fill="FFFFFF"/>
          <w:lang w:val="zh-CN"/>
        </w:rPr>
        <w:t>结合项目自身特点、评价重点及管理办法等要求，围绕项目支出绩效评价指标体系对项目进行总体评价。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（二）存在的问题。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FF0000"/>
          <w:kern w:val="0"/>
          <w:sz w:val="32"/>
          <w:szCs w:val="32"/>
          <w:highlight w:val="none"/>
          <w:u w:val="none"/>
          <w:shd w:val="clear" w:color="auto" w:fill="FFFFFF"/>
          <w:lang w:val="en-US" w:eastAsia="zh-CN"/>
        </w:rPr>
      </w:pPr>
      <w:r>
        <w:rPr>
          <w:rFonts w:hint="eastAsia" w:ascii="仿宋_GB2312" w:hAnsi="仿宋_GB2312" w:eastAsia="仿宋_GB2312" w:cs="仿宋_GB2312"/>
          <w:color w:val="FF0000"/>
          <w:kern w:val="0"/>
          <w:sz w:val="32"/>
          <w:szCs w:val="32"/>
          <w:highlight w:val="none"/>
          <w:u w:val="none"/>
          <w:shd w:val="clear" w:color="auto" w:fill="FFFFFF"/>
          <w:lang w:val="zh-CN"/>
        </w:rPr>
        <w:t>结合自评情况，分析存在的问题及原因。</w:t>
      </w:r>
      <w:r>
        <w:rPr>
          <w:rFonts w:hint="eastAsia" w:ascii="仿宋_GB2312" w:hAnsi="仿宋_GB2312" w:eastAsia="仿宋_GB2312" w:cs="仿宋_GB2312"/>
          <w:color w:val="FF0000"/>
          <w:kern w:val="0"/>
          <w:sz w:val="32"/>
          <w:szCs w:val="32"/>
          <w:highlight w:val="none"/>
          <w:u w:val="none"/>
          <w:shd w:val="clear" w:color="auto" w:fill="FFFFFF"/>
          <w:lang w:val="en-US" w:eastAsia="zh-CN"/>
        </w:rPr>
        <w:t>从政策与实际需求层面、程序与实际执行是否相符等方面。</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FF0000"/>
          <w:sz w:val="32"/>
          <w:szCs w:val="32"/>
          <w:highlight w:val="none"/>
          <w:u w:val="none"/>
          <w:lang w:val="zh-CN"/>
        </w:rPr>
      </w:pPr>
      <w:r>
        <w:rPr>
          <w:rFonts w:hint="eastAsia" w:ascii="楷体_GB2312" w:hAnsi="宋体" w:eastAsia="楷体_GB2312"/>
          <w:b/>
          <w:color w:val="FF0000"/>
          <w:sz w:val="32"/>
          <w:szCs w:val="32"/>
          <w:highlight w:val="none"/>
          <w:u w:val="none"/>
          <w:lang w:val="zh-CN"/>
        </w:rPr>
        <w:t>（三）相关建议。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Style w:val="29"/>
          <w:rFonts w:ascii="黑体" w:hAnsi="黑体" w:eastAsia="黑体"/>
          <w:b w:val="0"/>
          <w:color w:val="FF0000"/>
          <w:sz w:val="32"/>
          <w:szCs w:val="32"/>
          <w:highlight w:val="none"/>
        </w:rPr>
      </w:pPr>
      <w:r>
        <w:rPr>
          <w:rFonts w:hint="eastAsia" w:ascii="仿宋_GB2312" w:hAnsi="仿宋_GB2312" w:eastAsia="仿宋_GB2312" w:cs="仿宋_GB2312"/>
          <w:color w:val="FF0000"/>
          <w:kern w:val="0"/>
          <w:sz w:val="32"/>
          <w:szCs w:val="32"/>
          <w:highlight w:val="none"/>
          <w:u w:val="none"/>
          <w:shd w:val="clear" w:color="auto" w:fill="FFFFFF"/>
          <w:lang w:val="zh-CN"/>
        </w:rPr>
        <w:t>针对项目自评中发现的问题，提出下一步改进完善的意见及有关政策性建议。</w:t>
      </w:r>
    </w:p>
    <w:p>
      <w:pPr>
        <w:autoSpaceDE w:val="0"/>
        <w:autoSpaceDN w:val="0"/>
        <w:adjustRightInd w:val="0"/>
        <w:spacing w:line="600" w:lineRule="exact"/>
        <w:ind w:firstLine="640" w:firstLineChars="200"/>
        <w:jc w:val="both"/>
        <w:rPr>
          <w:rFonts w:ascii="仿宋" w:hAnsi="仿宋" w:eastAsia="仿宋"/>
          <w:b/>
          <w:bCs w:val="0"/>
          <w:color w:val="FF0000"/>
          <w:sz w:val="32"/>
          <w:szCs w:val="32"/>
          <w:highlight w:val="none"/>
        </w:rPr>
      </w:pPr>
      <w:r>
        <w:rPr>
          <w:rFonts w:hint="eastAsia" w:ascii="仿宋_GB2312" w:hAnsi="仿宋_GB2312" w:eastAsia="仿宋_GB2312" w:cs="仿宋_GB2312"/>
          <w:color w:val="FF0000"/>
          <w:sz w:val="32"/>
          <w:szCs w:val="32"/>
          <w:highlight w:val="none"/>
          <w:lang w:val="en-US" w:eastAsia="zh-CN"/>
        </w:rPr>
        <w:t>（以上绩效自评报告，除涉密敏感内容外，原则上都应予以公开。）</w:t>
      </w:r>
    </w:p>
    <w:p>
      <w:pPr>
        <w:spacing w:line="580" w:lineRule="exact"/>
        <w:rPr>
          <w:rStyle w:val="29"/>
          <w:rFonts w:ascii="黑体" w:hAnsi="黑体" w:eastAsia="黑体"/>
          <w:b w:val="0"/>
          <w:color w:val="auto"/>
          <w:highlight w:val="none"/>
        </w:rPr>
      </w:pPr>
    </w:p>
    <w:p>
      <w:pPr>
        <w:spacing w:line="600" w:lineRule="exact"/>
        <w:jc w:val="center"/>
        <w:outlineLvl w:val="0"/>
        <w:rPr>
          <w:rFonts w:hint="eastAsia" w:ascii="仿宋" w:hAnsi="仿宋" w:eastAsia="仿宋"/>
          <w:b w:val="0"/>
          <w:color w:val="auto"/>
          <w:highlight w:val="none"/>
        </w:rPr>
      </w:pPr>
      <w:bookmarkStart w:id="53" w:name="_Toc15396618"/>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52"/>
      <w:bookmarkEnd w:id="53"/>
      <w:bookmarkStart w:id="54" w:name="_Toc15396619"/>
    </w:p>
    <w:p>
      <w:pPr>
        <w:pStyle w:val="5"/>
        <w:rPr>
          <w:rFonts w:ascii="仿宋" w:hAnsi="仿宋" w:eastAsia="仿宋"/>
          <w:color w:val="auto"/>
          <w:highlight w:val="none"/>
        </w:rPr>
      </w:pPr>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54"/>
    </w:p>
    <w:p>
      <w:pPr>
        <w:pStyle w:val="5"/>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55"/>
    </w:p>
    <w:p>
      <w:pPr>
        <w:pStyle w:val="5"/>
        <w:rPr>
          <w:rFonts w:ascii="仿宋" w:hAnsi="仿宋" w:eastAsia="仿宋"/>
          <w:color w:val="auto"/>
          <w:highlight w:val="none"/>
        </w:rPr>
      </w:pPr>
      <w:bookmarkStart w:id="56"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56"/>
    </w:p>
    <w:p>
      <w:pPr>
        <w:pStyle w:val="5"/>
        <w:rPr>
          <w:rFonts w:ascii="仿宋" w:hAnsi="仿宋" w:eastAsia="仿宋"/>
          <w:b w:val="0"/>
          <w:color w:val="auto"/>
          <w:highlight w:val="none"/>
        </w:rPr>
      </w:pPr>
      <w:bookmarkStart w:id="57" w:name="_Toc1539662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57"/>
    </w:p>
    <w:p>
      <w:pPr>
        <w:pStyle w:val="5"/>
        <w:rPr>
          <w:rStyle w:val="30"/>
          <w:rFonts w:ascii="仿宋" w:hAnsi="仿宋" w:eastAsia="仿宋"/>
          <w:b w:val="0"/>
          <w:bCs w:val="0"/>
          <w:color w:val="auto"/>
          <w:highlight w:val="none"/>
        </w:rPr>
      </w:pPr>
      <w:bookmarkStart w:id="58" w:name="_Toc153966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58"/>
      <w:bookmarkStart w:id="59" w:name="_Toc15396624"/>
    </w:p>
    <w:p>
      <w:pPr>
        <w:pStyle w:val="5"/>
        <w:rPr>
          <w:rFonts w:ascii="仿宋" w:hAnsi="仿宋" w:eastAsia="仿宋"/>
          <w:color w:val="auto"/>
          <w:highlight w:val="none"/>
        </w:rPr>
      </w:pPr>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59"/>
    </w:p>
    <w:p>
      <w:pPr>
        <w:pStyle w:val="5"/>
        <w:rPr>
          <w:rFonts w:ascii="仿宋" w:hAnsi="仿宋" w:eastAsia="仿宋"/>
          <w:color w:val="auto"/>
          <w:highlight w:val="none"/>
        </w:rPr>
      </w:pPr>
      <w:bookmarkStart w:id="60"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60"/>
    </w:p>
    <w:p>
      <w:pPr>
        <w:pStyle w:val="5"/>
        <w:rPr>
          <w:rFonts w:ascii="仿宋" w:hAnsi="仿宋" w:eastAsia="仿宋"/>
          <w:color w:val="auto"/>
          <w:highlight w:val="none"/>
        </w:rPr>
      </w:pPr>
      <w:bookmarkStart w:id="61" w:name="_Toc15396626"/>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61"/>
    </w:p>
    <w:p>
      <w:pPr>
        <w:pStyle w:val="5"/>
        <w:rPr>
          <w:rFonts w:ascii="仿宋" w:hAnsi="仿宋" w:eastAsia="仿宋"/>
          <w:color w:val="auto"/>
          <w:highlight w:val="none"/>
        </w:rPr>
      </w:pPr>
      <w:bookmarkStart w:id="62" w:name="_Toc1539662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62"/>
    </w:p>
    <w:p>
      <w:pPr>
        <w:pStyle w:val="5"/>
        <w:rPr>
          <w:rFonts w:ascii="仿宋" w:hAnsi="仿宋" w:eastAsia="仿宋"/>
          <w:color w:val="auto"/>
          <w:highlight w:val="none"/>
        </w:rPr>
      </w:pPr>
      <w:bookmarkStart w:id="63" w:name="_Toc15396628"/>
      <w:r>
        <w:rPr>
          <w:rStyle w:val="30"/>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p>
    <w:p>
      <w:pPr>
        <w:pStyle w:val="5"/>
        <w:rPr>
          <w:rFonts w:ascii="仿宋" w:hAnsi="仿宋" w:eastAsia="仿宋"/>
          <w:color w:val="auto"/>
          <w:highlight w:val="none"/>
        </w:rPr>
      </w:pPr>
      <w:bookmarkStart w:id="64" w:name="_Toc15396629"/>
      <w:r>
        <w:rPr>
          <w:rStyle w:val="30"/>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p>
    <w:p>
      <w:pPr>
        <w:pStyle w:val="5"/>
        <w:rPr>
          <w:rFonts w:ascii="仿宋" w:hAnsi="仿宋" w:eastAsia="仿宋"/>
          <w:color w:val="auto"/>
          <w:highlight w:val="none"/>
        </w:rPr>
      </w:pPr>
      <w:bookmarkStart w:id="65" w:name="_Toc15396630"/>
      <w:r>
        <w:rPr>
          <w:rStyle w:val="30"/>
          <w:rFonts w:hint="eastAsia" w:ascii="仿宋" w:hAnsi="仿宋" w:eastAsia="仿宋"/>
          <w:b w:val="0"/>
          <w:bCs w:val="0"/>
          <w:color w:val="auto"/>
          <w:highlight w:val="none"/>
        </w:rPr>
        <w:t>十二、</w:t>
      </w:r>
      <w:bookmarkEnd w:id="65"/>
      <w:r>
        <w:rPr>
          <w:rStyle w:val="30"/>
          <w:rFonts w:hint="eastAsia" w:ascii="仿宋" w:hAnsi="仿宋" w:eastAsia="仿宋"/>
          <w:b w:val="0"/>
          <w:bCs w:val="0"/>
          <w:color w:val="auto"/>
          <w:highlight w:val="none"/>
          <w:lang w:eastAsia="zh-CN"/>
        </w:rPr>
        <w:t>国有资本经营预算财政拨款支出决算表</w:t>
      </w:r>
    </w:p>
    <w:p>
      <w:pPr>
        <w:pStyle w:val="5"/>
        <w:rPr>
          <w:rFonts w:hint="eastAsia" w:eastAsia="仿宋"/>
          <w:color w:val="auto"/>
          <w:highlight w:val="none"/>
          <w:lang w:eastAsia="zh-CN"/>
        </w:rPr>
      </w:pPr>
      <w:bookmarkStart w:id="66" w:name="_Toc15396631"/>
      <w:r>
        <w:rPr>
          <w:rStyle w:val="30"/>
          <w:rFonts w:hint="eastAsia" w:ascii="仿宋" w:hAnsi="仿宋" w:eastAsia="仿宋"/>
          <w:b w:val="0"/>
          <w:bCs w:val="0"/>
          <w:color w:val="auto"/>
          <w:highlight w:val="none"/>
        </w:rPr>
        <w:t>十三、</w:t>
      </w:r>
      <w:bookmarkEnd w:id="66"/>
      <w:r>
        <w:rPr>
          <w:rStyle w:val="30"/>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91114BD"/>
    <w:multiLevelType w:val="singleLevel"/>
    <w:tmpl w:val="691114BD"/>
    <w:lvl w:ilvl="0" w:tentative="0">
      <w:start w:val="4"/>
      <w:numFmt w:val="chineseCounting"/>
      <w:suff w:val="nothing"/>
      <w:lvlText w:val="（%1）"/>
      <w:lvlJc w:val="left"/>
      <w:rPr>
        <w:rFonts w:hint="eastAsia"/>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NTczNDllYWMxMzdjM2IwMjk1NzQyNjI2ZThhNj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4E37E2B"/>
    <w:rsid w:val="066E0107"/>
    <w:rsid w:val="07996F6E"/>
    <w:rsid w:val="0A2032A3"/>
    <w:rsid w:val="0F98263C"/>
    <w:rsid w:val="101860EC"/>
    <w:rsid w:val="10C055FF"/>
    <w:rsid w:val="118107EC"/>
    <w:rsid w:val="13D50BC4"/>
    <w:rsid w:val="13E01493"/>
    <w:rsid w:val="14A94C91"/>
    <w:rsid w:val="16BB723D"/>
    <w:rsid w:val="19834E06"/>
    <w:rsid w:val="1BE8440E"/>
    <w:rsid w:val="1D155CEE"/>
    <w:rsid w:val="1FF35744"/>
    <w:rsid w:val="23860B96"/>
    <w:rsid w:val="240371BF"/>
    <w:rsid w:val="24D367D7"/>
    <w:rsid w:val="29FD04D3"/>
    <w:rsid w:val="2C8A61B5"/>
    <w:rsid w:val="2DF04E50"/>
    <w:rsid w:val="2F040D46"/>
    <w:rsid w:val="2FE340B2"/>
    <w:rsid w:val="319F7F4E"/>
    <w:rsid w:val="32633F99"/>
    <w:rsid w:val="3304709D"/>
    <w:rsid w:val="33C570A4"/>
    <w:rsid w:val="36AA5135"/>
    <w:rsid w:val="376D39B2"/>
    <w:rsid w:val="37E16F03"/>
    <w:rsid w:val="384B346A"/>
    <w:rsid w:val="38AF4087"/>
    <w:rsid w:val="38D469F0"/>
    <w:rsid w:val="39465D61"/>
    <w:rsid w:val="3CA648E0"/>
    <w:rsid w:val="3D98207C"/>
    <w:rsid w:val="3E78745D"/>
    <w:rsid w:val="44E268DA"/>
    <w:rsid w:val="4A627F82"/>
    <w:rsid w:val="4AF8180F"/>
    <w:rsid w:val="4B0E749A"/>
    <w:rsid w:val="4B4F25DA"/>
    <w:rsid w:val="4BE068DB"/>
    <w:rsid w:val="4D577224"/>
    <w:rsid w:val="4EAB630A"/>
    <w:rsid w:val="4ECE2238"/>
    <w:rsid w:val="4F3D3C20"/>
    <w:rsid w:val="4FEB27A1"/>
    <w:rsid w:val="525C5A95"/>
    <w:rsid w:val="537E6D0A"/>
    <w:rsid w:val="5AF92295"/>
    <w:rsid w:val="5CD71FC4"/>
    <w:rsid w:val="6C4A05C8"/>
    <w:rsid w:val="6E7E3605"/>
    <w:rsid w:val="6FF5CC65"/>
    <w:rsid w:val="715C0E4B"/>
    <w:rsid w:val="72734D90"/>
    <w:rsid w:val="73AD73D5"/>
    <w:rsid w:val="73B6EB34"/>
    <w:rsid w:val="74100C25"/>
    <w:rsid w:val="744731E5"/>
    <w:rsid w:val="76E3355F"/>
    <w:rsid w:val="778769C8"/>
    <w:rsid w:val="79EE5BA4"/>
    <w:rsid w:val="7A894339"/>
    <w:rsid w:val="7EE01A96"/>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Chars="200"/>
    </w:pPr>
    <w:rPr>
      <w:rFonts w:ascii="仿宋_GB2312"/>
      <w:szCs w:val="32"/>
    </w:r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7">
    <w:name w:val="Strong"/>
    <w:basedOn w:val="16"/>
    <w:qFormat/>
    <w:uiPriority w:val="99"/>
    <w:rPr>
      <w:b/>
    </w:rPr>
  </w:style>
  <w:style w:type="character" w:styleId="18">
    <w:name w:val="Emphasis"/>
    <w:qFormat/>
    <w:uiPriority w:val="0"/>
    <w:rPr>
      <w:i/>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6"/>
    <w:link w:val="4"/>
    <w:qFormat/>
    <w:uiPriority w:val="9"/>
    <w:rPr>
      <w:rFonts w:ascii="Times New Roman" w:hAnsi="Times New Roman"/>
      <w:b/>
      <w:bCs/>
      <w:kern w:val="44"/>
      <w:sz w:val="44"/>
      <w:szCs w:val="44"/>
    </w:rPr>
  </w:style>
  <w:style w:type="character" w:customStyle="1" w:styleId="30">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6"/>
    <w:qFormat/>
    <w:uiPriority w:val="9"/>
    <w:rPr>
      <w:rFonts w:ascii="Times New Roman" w:hAnsi="Times New Roman"/>
      <w:b/>
      <w:bCs/>
      <w:kern w:val="2"/>
      <w:sz w:val="32"/>
      <w:szCs w:val="32"/>
    </w:rPr>
  </w:style>
  <w:style w:type="paragraph" w:customStyle="1" w:styleId="34">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1575"/>
          <c:y val="0.0341666666666667"/>
          <c:w val="0.910925"/>
          <c:h val="0.8069"/>
        </c:manualLayout>
      </c:layout>
      <c:barChart>
        <c:barDir val="col"/>
        <c:grouping val="clustered"/>
        <c:varyColors val="0"/>
        <c:ser>
          <c:idx val="0"/>
          <c:order val="0"/>
          <c:tx>
            <c:strRef>
              <c:f>Sheet1!$B$1</c:f>
              <c:strCache>
                <c:ptCount val="1"/>
                <c:pt idx="0">
                  <c:v>决算收入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161.25</c:v>
                </c:pt>
                <c:pt idx="1">
                  <c:v>169.72</c:v>
                </c:pt>
              </c:numCache>
            </c:numRef>
          </c:val>
        </c:ser>
        <c:ser>
          <c:idx val="1"/>
          <c:order val="1"/>
          <c:tx>
            <c:strRef>
              <c:f>Sheet1!$C$1</c:f>
              <c:strCache>
                <c:ptCount val="1"/>
                <c:pt idx="0">
                  <c:v>决算支出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198.78</c:v>
                </c:pt>
                <c:pt idx="1">
                  <c:v>172.23</c:v>
                </c:pt>
              </c:numCache>
            </c:numRef>
          </c:val>
        </c:ser>
        <c:dLbls>
          <c:showLegendKey val="0"/>
          <c:showVal val="0"/>
          <c:showCatName val="0"/>
          <c:showSerName val="0"/>
          <c:showPercent val="0"/>
          <c:showBubbleSize val="0"/>
        </c:dLbls>
        <c:gapWidth val="219"/>
        <c:overlap val="-27"/>
        <c:axId val="745189822"/>
        <c:axId val="36221782"/>
      </c:barChart>
      <c:catAx>
        <c:axId val="7451898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221782"/>
        <c:crosses val="autoZero"/>
        <c:auto val="1"/>
        <c:lblAlgn val="ctr"/>
        <c:lblOffset val="100"/>
        <c:noMultiLvlLbl val="0"/>
      </c:catAx>
      <c:valAx>
        <c:axId val="362217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5189822"/>
        <c:crosses val="autoZero"/>
        <c:crossBetween val="between"/>
      </c:valAx>
      <c:spPr>
        <a:noFill/>
        <a:ln>
          <a:noFill/>
        </a:ln>
        <a:effectLst/>
      </c:spPr>
    </c:plotArea>
    <c:legend>
      <c:legendPos val="b"/>
      <c:layout>
        <c:manualLayout>
          <c:xMode val="edge"/>
          <c:yMode val="edge"/>
          <c:x val="0.4091875"/>
          <c:y val="0.924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年收入决算结构</a:t>
            </a:r>
            <a:endParaRPr lang="en-US" altLang="zh-CN"/>
          </a:p>
        </c:rich>
      </c:tx>
      <c:layout/>
      <c:overlay val="0"/>
      <c:spPr>
        <a:noFill/>
        <a:ln>
          <a:noFill/>
        </a:ln>
        <a:effectLst/>
      </c:spPr>
    </c:title>
    <c:autoTitleDeleted val="0"/>
    <c:plotArea>
      <c:layout>
        <c:manualLayout>
          <c:layoutTarget val="inner"/>
          <c:xMode val="edge"/>
          <c:yMode val="edge"/>
          <c:x val="0.331128291857937"/>
          <c:y val="0.155988100297493"/>
          <c:w val="0.34740758637352"/>
          <c:h val="0.611100722481938"/>
        </c:manualLayout>
      </c:layout>
      <c:pieChart>
        <c:varyColors val="1"/>
        <c:ser>
          <c:idx val="0"/>
          <c:order val="0"/>
          <c:tx>
            <c:strRef>
              <c:f>Sheet1!$B$1</c:f>
              <c:strCache>
                <c:ptCount val="1"/>
                <c:pt idx="0">
                  <c:v>2022年收入决算结构</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169.72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3529838125151"/>
          <c:y val="0.8506162345941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82.72</c:v>
                </c:pt>
                <c:pt idx="1">
                  <c:v>89.51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401606668277362"/>
          <c:y val="0.92310951069688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161.25</c:v>
                </c:pt>
                <c:pt idx="1">
                  <c:v>198.78</c:v>
                </c:pt>
              </c:numCache>
            </c:numRef>
          </c:val>
        </c:ser>
        <c:ser>
          <c:idx val="1"/>
          <c:order val="1"/>
          <c:tx>
            <c:strRef>
              <c:f>Sheet1!$C$1</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169.72</c:v>
                </c:pt>
                <c:pt idx="1">
                  <c:v>172.23</c:v>
                </c:pt>
              </c:numCache>
            </c:numRef>
          </c:val>
        </c:ser>
        <c:dLbls>
          <c:showLegendKey val="0"/>
          <c:showVal val="0"/>
          <c:showCatName val="0"/>
          <c:showSerName val="0"/>
          <c:showPercent val="0"/>
          <c:showBubbleSize val="0"/>
        </c:dLbls>
        <c:gapWidth val="246"/>
        <c:overlap val="-28"/>
        <c:axId val="882980967"/>
        <c:axId val="585792279"/>
      </c:barChart>
      <c:catAx>
        <c:axId val="8829809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792279"/>
        <c:crosses val="autoZero"/>
        <c:auto val="1"/>
        <c:lblAlgn val="ctr"/>
        <c:lblOffset val="100"/>
        <c:noMultiLvlLbl val="0"/>
      </c:catAx>
      <c:valAx>
        <c:axId val="58579227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2980967"/>
        <c:crosses val="autoZero"/>
        <c:crossBetween val="between"/>
      </c:valAx>
      <c:spPr>
        <a:noFill/>
        <a:ln>
          <a:noFill/>
        </a:ln>
        <a:effectLst/>
      </c:spPr>
    </c:plotArea>
    <c:legend>
      <c:legendPos val="b"/>
      <c:layout>
        <c:manualLayout>
          <c:xMode val="edge"/>
          <c:yMode val="edge"/>
          <c:x val="0.343985210616664"/>
          <c:y val="0.8896959913909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198.78</c:v>
                </c:pt>
              </c:numCache>
            </c:numRef>
          </c:val>
        </c:ser>
        <c:ser>
          <c:idx val="1"/>
          <c:order val="1"/>
          <c:tx>
            <c:strRef>
              <c:f>Sheet1!$C$1</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172.23</c:v>
                </c:pt>
              </c:numCache>
            </c:numRef>
          </c:val>
        </c:ser>
        <c:dLbls>
          <c:showLegendKey val="0"/>
          <c:showVal val="1"/>
          <c:showCatName val="0"/>
          <c:showSerName val="0"/>
          <c:showPercent val="0"/>
          <c:showBubbleSize val="0"/>
        </c:dLbls>
        <c:gapWidth val="246"/>
        <c:overlap val="-28"/>
        <c:axId val="187218262"/>
        <c:axId val="48528798"/>
      </c:barChart>
      <c:catAx>
        <c:axId val="18721826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528798"/>
        <c:crosses val="autoZero"/>
        <c:auto val="1"/>
        <c:lblAlgn val="ctr"/>
        <c:lblOffset val="100"/>
        <c:noMultiLvlLbl val="0"/>
      </c:catAx>
      <c:valAx>
        <c:axId val="4852879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218262"/>
        <c:crosses val="autoZero"/>
        <c:crossBetween val="between"/>
      </c:valAx>
      <c:spPr>
        <a:noFill/>
        <a:ln>
          <a:noFill/>
        </a:ln>
        <a:effectLst/>
      </c:spPr>
    </c:plotArea>
    <c:legend>
      <c:legendPos val="b"/>
      <c:layout>
        <c:manualLayout>
          <c:xMode val="edge"/>
          <c:yMode val="edge"/>
          <c:x val="0.441698944837719"/>
          <c:y val="0.85725037631711"/>
          <c:w val="0.179110458127421"/>
          <c:h val="0.084044154540893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年支出决算结构</a:t>
            </a:r>
            <a:endParaRPr lang="en-US" altLang="zh-CN"/>
          </a:p>
        </c:rich>
      </c:tx>
      <c:layout/>
      <c:overlay val="0"/>
      <c:spPr>
        <a:noFill/>
        <a:ln>
          <a:noFill/>
        </a:ln>
        <a:effectLst/>
      </c:spPr>
    </c:title>
    <c:autoTitleDeleted val="0"/>
    <c:plotArea>
      <c:layout>
        <c:manualLayout>
          <c:layoutTarget val="inner"/>
          <c:xMode val="edge"/>
          <c:yMode val="edge"/>
          <c:x val="0.316632036723846"/>
          <c:y val="0.206986825329367"/>
          <c:w val="0.34740758637352"/>
          <c:h val="0.611100722481938"/>
        </c:manualLayout>
      </c:layout>
      <c:pieChart>
        <c:varyColors val="1"/>
        <c:ser>
          <c:idx val="0"/>
          <c:order val="0"/>
          <c:tx>
            <c:strRef>
              <c:f>Sheet1!$B$1</c:f>
              <c:strCache>
                <c:ptCount val="1"/>
                <c:pt idx="0">
                  <c:v>2022年支出决算结构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160.17</c:v>
                </c:pt>
                <c:pt idx="1">
                  <c:v>4.21</c:v>
                </c:pt>
                <c:pt idx="2">
                  <c:v>3.05</c:v>
                </c:pt>
                <c:pt idx="3">
                  <c:v>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35721188692921"/>
          <c:y val="0.87526561835954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三公经费支出情况</a:t>
            </a:r>
          </a:p>
        </c:rich>
      </c:tx>
      <c:layout/>
      <c:overlay val="0"/>
      <c:spPr>
        <a:noFill/>
        <a:ln>
          <a:noFill/>
        </a:ln>
        <a:effectLst/>
      </c:spPr>
    </c:title>
    <c:autoTitleDeleted val="0"/>
    <c:plotArea>
      <c:layout/>
      <c:pieChart>
        <c:varyColors val="1"/>
        <c:ser>
          <c:idx val="0"/>
          <c:order val="0"/>
          <c:tx>
            <c:strRef>
              <c:f>Sheet1!$B$1</c:f>
              <c:strCache>
                <c:ptCount val="1"/>
                <c:pt idx="0">
                  <c:v>三公经费支出情况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c:v>
                </c:pt>
                <c:pt idx="1">
                  <c:v>公务用车购置及运行维护费</c:v>
                </c:pt>
                <c:pt idx="2">
                  <c:v>公务接待</c:v>
                </c:pt>
              </c:strCache>
            </c:strRef>
          </c:cat>
          <c:val>
            <c:numRef>
              <c:f>Sheet1!$B$2:$B$4</c:f>
              <c:numCache>
                <c:formatCode>General</c:formatCode>
                <c:ptCount val="3"/>
                <c:pt idx="0">
                  <c:v>0</c:v>
                </c:pt>
                <c:pt idx="1">
                  <c:v>0</c:v>
                </c:pt>
                <c:pt idx="2">
                  <c:v>3.06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7451</Words>
  <Characters>7904</Characters>
  <Lines>61</Lines>
  <Paragraphs>17</Paragraphs>
  <TotalTime>7</TotalTime>
  <ScaleCrop>false</ScaleCrop>
  <LinksUpToDate>false</LinksUpToDate>
  <CharactersWithSpaces>7927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2023-12-25T02:39:58Z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2E3E4CA2F3EE41BB8B8A9F086C90B11F_13</vt:lpwstr>
  </property>
</Properties>
</file>